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FD085" w14:textId="77777777" w:rsidR="002B1FBF" w:rsidRDefault="002B1FBF" w:rsidP="00F57CF1">
      <w:pPr>
        <w:jc w:val="both"/>
      </w:pPr>
      <w:bookmarkStart w:id="0" w:name="Instructions"/>
      <w:bookmarkStart w:id="1" w:name="_GoBack"/>
      <w:bookmarkEnd w:id="1"/>
    </w:p>
    <w:p w14:paraId="7ABF83C3" w14:textId="77777777" w:rsidR="004C3E3A" w:rsidRDefault="004C3E3A" w:rsidP="00F57CF1">
      <w:pPr>
        <w:jc w:val="both"/>
        <w:rPr>
          <w:rFonts w:ascii="Arial Black" w:eastAsia="Times New Roman" w:hAnsi="Arial Black" w:cs="Arial"/>
          <w:b/>
          <w:color w:val="CB6015"/>
          <w:sz w:val="44"/>
          <w:szCs w:val="44"/>
          <w:lang w:eastAsia="en-AU"/>
        </w:rPr>
      </w:pPr>
    </w:p>
    <w:p w14:paraId="202EBD03" w14:textId="77777777" w:rsidR="004C3E3A" w:rsidRDefault="004C3E3A" w:rsidP="00F57CF1">
      <w:pPr>
        <w:jc w:val="both"/>
        <w:rPr>
          <w:rFonts w:ascii="Arial Black" w:eastAsia="Times New Roman" w:hAnsi="Arial Black" w:cs="Arial"/>
          <w:b/>
          <w:color w:val="CB6015"/>
          <w:sz w:val="44"/>
          <w:szCs w:val="44"/>
          <w:lang w:eastAsia="en-AU"/>
        </w:rPr>
      </w:pPr>
    </w:p>
    <w:p w14:paraId="3C15E898" w14:textId="77777777" w:rsidR="004C3E3A" w:rsidRDefault="004C3E3A" w:rsidP="00F57CF1">
      <w:pPr>
        <w:jc w:val="both"/>
        <w:rPr>
          <w:rFonts w:ascii="Arial Black" w:eastAsia="Times New Roman" w:hAnsi="Arial Black" w:cs="Arial"/>
          <w:b/>
          <w:color w:val="CB6015"/>
          <w:sz w:val="44"/>
          <w:szCs w:val="44"/>
          <w:lang w:eastAsia="en-AU"/>
        </w:rPr>
      </w:pPr>
    </w:p>
    <w:p w14:paraId="2F88D427" w14:textId="5A53BEE2" w:rsidR="005F3ADF" w:rsidRPr="00DA4F31" w:rsidRDefault="00F43AA1" w:rsidP="006F7513">
      <w:pPr>
        <w:rPr>
          <w:rFonts w:ascii="Arial Black" w:eastAsia="Times New Roman" w:hAnsi="Arial Black" w:cs="Arial"/>
          <w:b/>
          <w:color w:val="CB6015"/>
          <w:sz w:val="48"/>
          <w:szCs w:val="48"/>
          <w:lang w:eastAsia="en-AU"/>
        </w:rPr>
      </w:pPr>
      <w:r w:rsidRPr="00DA4F31">
        <w:rPr>
          <w:rFonts w:ascii="Arial Black" w:eastAsia="Times New Roman" w:hAnsi="Arial Black" w:cs="Arial"/>
          <w:b/>
          <w:color w:val="CB6015"/>
          <w:sz w:val="48"/>
          <w:szCs w:val="48"/>
          <w:lang w:eastAsia="en-AU"/>
        </w:rPr>
        <w:t xml:space="preserve">The </w:t>
      </w:r>
      <w:r w:rsidR="002B1FBF" w:rsidRPr="00DA4F31">
        <w:rPr>
          <w:rFonts w:ascii="Arial Black" w:eastAsia="Times New Roman" w:hAnsi="Arial Black" w:cs="Arial"/>
          <w:b/>
          <w:color w:val="CB6015"/>
          <w:sz w:val="48"/>
          <w:szCs w:val="48"/>
          <w:lang w:eastAsia="en-AU"/>
        </w:rPr>
        <w:t xml:space="preserve">Northern Territory Sexual Violence Prevention and Response Framework </w:t>
      </w:r>
    </w:p>
    <w:p w14:paraId="2F3FBA34" w14:textId="77777777" w:rsidR="002B1FBF" w:rsidRPr="00DA4F31" w:rsidRDefault="002B1FBF" w:rsidP="00F57CF1">
      <w:pPr>
        <w:jc w:val="both"/>
        <w:rPr>
          <w:rFonts w:ascii="Arial Black" w:eastAsia="Times New Roman" w:hAnsi="Arial Black" w:cs="Arial"/>
          <w:b/>
          <w:color w:val="CB6015"/>
          <w:sz w:val="48"/>
          <w:szCs w:val="48"/>
          <w:lang w:eastAsia="en-AU"/>
        </w:rPr>
      </w:pPr>
      <w:r w:rsidRPr="00DA4F31">
        <w:rPr>
          <w:rFonts w:ascii="Arial Black" w:eastAsia="Times New Roman" w:hAnsi="Arial Black" w:cs="Arial"/>
          <w:b/>
          <w:color w:val="CB6015"/>
          <w:sz w:val="48"/>
          <w:szCs w:val="48"/>
          <w:lang w:eastAsia="en-AU"/>
        </w:rPr>
        <w:t>Consultation Summary</w:t>
      </w:r>
    </w:p>
    <w:p w14:paraId="3AD73528" w14:textId="77777777" w:rsidR="002B1FBF" w:rsidRPr="00DA4F31" w:rsidRDefault="002B1FBF" w:rsidP="00F57CF1">
      <w:pPr>
        <w:jc w:val="both"/>
        <w:rPr>
          <w:sz w:val="48"/>
          <w:szCs w:val="48"/>
        </w:rPr>
      </w:pPr>
      <w:r w:rsidRPr="00DA4F31">
        <w:rPr>
          <w:rFonts w:ascii="Arial Black" w:eastAsia="Times New Roman" w:hAnsi="Arial Black" w:cs="Arial"/>
          <w:b/>
          <w:color w:val="CB6015"/>
          <w:sz w:val="48"/>
          <w:szCs w:val="48"/>
          <w:lang w:eastAsia="en-AU"/>
        </w:rPr>
        <w:t>November 2019</w:t>
      </w:r>
    </w:p>
    <w:p w14:paraId="6D1F1852" w14:textId="77777777" w:rsidR="000931B8" w:rsidRDefault="000931B8" w:rsidP="00F57CF1">
      <w:pPr>
        <w:jc w:val="both"/>
      </w:pPr>
      <w:r>
        <w:br w:type="page"/>
      </w:r>
    </w:p>
    <w:p w14:paraId="5CF4E4FE" w14:textId="77777777" w:rsidR="00425B97" w:rsidRPr="00425B97" w:rsidRDefault="00425B97" w:rsidP="00F57CF1">
      <w:pPr>
        <w:jc w:val="both"/>
        <w:rPr>
          <w:b/>
        </w:rPr>
      </w:pPr>
      <w:r w:rsidRPr="00425B97">
        <w:rPr>
          <w:b/>
        </w:rPr>
        <w:lastRenderedPageBreak/>
        <w:t>BACKGROUND</w:t>
      </w:r>
    </w:p>
    <w:p w14:paraId="3A01D0FF" w14:textId="0F03C1AE" w:rsidR="00E72338" w:rsidRPr="00E72338" w:rsidRDefault="00E72338" w:rsidP="00F57CF1">
      <w:pPr>
        <w:jc w:val="both"/>
      </w:pPr>
      <w:r w:rsidRPr="00E72338">
        <w:t>The Northern Territory’s Domestic, Family and Sexual Violence Reduction Framework Action Plan 1: Changing Attitudes, Intervening Earlier and Responding Better 2018-2021 includes a commitment to develop a Northern Territory Sexual Violence Prevention and Re</w:t>
      </w:r>
      <w:r w:rsidR="004C3E3A">
        <w:t xml:space="preserve">duction Framework </w:t>
      </w:r>
      <w:r w:rsidRPr="00E72338">
        <w:t>(the</w:t>
      </w:r>
      <w:r w:rsidR="004C3E3A">
        <w:t xml:space="preserve"> </w:t>
      </w:r>
      <w:r w:rsidR="00837BE3">
        <w:t>SVPRF</w:t>
      </w:r>
      <w:r w:rsidRPr="00E72338">
        <w:t xml:space="preserve">).  </w:t>
      </w:r>
    </w:p>
    <w:p w14:paraId="72BB8F9D" w14:textId="77777777" w:rsidR="00E72338" w:rsidRDefault="00E72338" w:rsidP="00F57CF1">
      <w:pPr>
        <w:jc w:val="both"/>
      </w:pPr>
      <w:r w:rsidRPr="00E72338">
        <w:t>For many years, Territorians have shared their experiences and knowledge of sexual violence with inquiries and Royal Commissions, including the recent Royal Commission into Institutional Responses to Child Sexual A</w:t>
      </w:r>
      <w:r w:rsidR="002943FF">
        <w:t>buse</w:t>
      </w:r>
      <w:r w:rsidRPr="00E72338">
        <w:t xml:space="preserve"> and the Royal Commission into the Detention and Protection of Children in the Northern Territory.</w:t>
      </w:r>
    </w:p>
    <w:p w14:paraId="20817718" w14:textId="488D61E6" w:rsidR="0044086B" w:rsidRDefault="00960663" w:rsidP="00F57CF1">
      <w:pPr>
        <w:jc w:val="both"/>
      </w:pPr>
      <w:r>
        <w:t xml:space="preserve">Throughout 2019 community and expert perspectives about preventing and responding to sexual violence </w:t>
      </w:r>
      <w:r w:rsidR="00837BE3">
        <w:t xml:space="preserve">in the Northern Territory </w:t>
      </w:r>
      <w:r>
        <w:t xml:space="preserve">were gathered, along with relevant evidence to inform the development of </w:t>
      </w:r>
      <w:r w:rsidR="00E72338">
        <w:t>the SVPRF</w:t>
      </w:r>
      <w:r w:rsidR="00E72338" w:rsidRPr="00E72338">
        <w:t xml:space="preserve">. </w:t>
      </w:r>
    </w:p>
    <w:p w14:paraId="21C28D57" w14:textId="77777777" w:rsidR="0044086B" w:rsidRPr="0044086B" w:rsidRDefault="0044086B" w:rsidP="00F57CF1">
      <w:pPr>
        <w:jc w:val="both"/>
        <w:rPr>
          <w:b/>
        </w:rPr>
      </w:pPr>
      <w:r w:rsidRPr="0044086B">
        <w:rPr>
          <w:b/>
        </w:rPr>
        <w:t>CONSULTATION PROCESS</w:t>
      </w:r>
    </w:p>
    <w:p w14:paraId="3FB5103B" w14:textId="5FD21F54" w:rsidR="00E72338" w:rsidRDefault="00E72338" w:rsidP="00F57CF1">
      <w:pPr>
        <w:jc w:val="both"/>
      </w:pPr>
      <w:r w:rsidRPr="00E72338">
        <w:t>A staged approach was taken to consultations to manage the sensitivities associated with sexual violence in the N</w:t>
      </w:r>
      <w:r w:rsidR="00837BE3">
        <w:t>orthern Territory</w:t>
      </w:r>
      <w:r w:rsidRPr="00E72338">
        <w:t xml:space="preserve">, and to build on evidence and experience as it emerged.  </w:t>
      </w:r>
    </w:p>
    <w:p w14:paraId="203C882B" w14:textId="579E1149" w:rsidR="00E72338" w:rsidRPr="00E72338" w:rsidRDefault="00E72338" w:rsidP="00F57CF1">
      <w:pPr>
        <w:jc w:val="both"/>
        <w:rPr>
          <w:iCs/>
        </w:rPr>
      </w:pPr>
      <w:r w:rsidRPr="00E72338">
        <w:rPr>
          <w:b/>
          <w:iCs/>
        </w:rPr>
        <w:t>Stage 1:</w:t>
      </w:r>
      <w:r w:rsidRPr="00E72338">
        <w:rPr>
          <w:iCs/>
        </w:rPr>
        <w:t xml:space="preserve"> From January to April 2019, over 40 preliminary consultations were held in Darwin and Alice Springs with Aboriginal people in the N</w:t>
      </w:r>
      <w:r w:rsidR="001835B4">
        <w:rPr>
          <w:iCs/>
        </w:rPr>
        <w:t>orthern Territory</w:t>
      </w:r>
      <w:r w:rsidRPr="00E72338">
        <w:rPr>
          <w:iCs/>
        </w:rPr>
        <w:t xml:space="preserve"> Government, Aboriginal Community Controlled Organisations, government and </w:t>
      </w:r>
      <w:r w:rsidR="00837BE3">
        <w:rPr>
          <w:iCs/>
        </w:rPr>
        <w:t>non-government organisation (</w:t>
      </w:r>
      <w:r w:rsidRPr="00E72338">
        <w:rPr>
          <w:iCs/>
        </w:rPr>
        <w:t>NGO</w:t>
      </w:r>
      <w:r w:rsidR="00837BE3">
        <w:rPr>
          <w:iCs/>
        </w:rPr>
        <w:t>)</w:t>
      </w:r>
      <w:r w:rsidRPr="00E72338">
        <w:rPr>
          <w:iCs/>
        </w:rPr>
        <w:t xml:space="preserve"> specialist domestic, family and sexual violence (DFSV) service providers. </w:t>
      </w:r>
    </w:p>
    <w:p w14:paraId="4D40A034" w14:textId="77777777" w:rsidR="00E72338" w:rsidRPr="00E72338" w:rsidRDefault="00E72338" w:rsidP="00F57CF1">
      <w:pPr>
        <w:jc w:val="both"/>
        <w:rPr>
          <w:iCs/>
        </w:rPr>
      </w:pPr>
      <w:r w:rsidRPr="00E72338">
        <w:rPr>
          <w:iCs/>
        </w:rPr>
        <w:t>In April 2019, a report back meeting was provided to preliminary consultation participants. In September 2019, a final report back meeting, including an opportunity to contribute to development</w:t>
      </w:r>
      <w:r w:rsidR="00ED2933">
        <w:rPr>
          <w:iCs/>
        </w:rPr>
        <w:t xml:space="preserve"> of priority actions was </w:t>
      </w:r>
      <w:r w:rsidRPr="00E72338">
        <w:rPr>
          <w:iCs/>
        </w:rPr>
        <w:t>held with Aboriginal people and organisation</w:t>
      </w:r>
      <w:r w:rsidR="00ED2933">
        <w:rPr>
          <w:iCs/>
        </w:rPr>
        <w:t>s</w:t>
      </w:r>
      <w:r w:rsidRPr="00E72338">
        <w:rPr>
          <w:iCs/>
        </w:rPr>
        <w:t xml:space="preserve"> who participated in preliminary consultations.</w:t>
      </w:r>
    </w:p>
    <w:p w14:paraId="434EC8C7" w14:textId="77777777" w:rsidR="00E72338" w:rsidRPr="00E72338" w:rsidRDefault="00EE62F4" w:rsidP="00F57CF1">
      <w:pPr>
        <w:jc w:val="both"/>
      </w:pPr>
      <w:r>
        <w:rPr>
          <w:iCs/>
        </w:rPr>
        <w:t>These p</w:t>
      </w:r>
      <w:r w:rsidR="00E72338" w:rsidRPr="00E72338">
        <w:rPr>
          <w:iCs/>
        </w:rPr>
        <w:t xml:space="preserve">reliminary consultations were conducted to </w:t>
      </w:r>
      <w:r w:rsidR="00E72338" w:rsidRPr="00E72338">
        <w:t xml:space="preserve">gain initial insights into the: </w:t>
      </w:r>
    </w:p>
    <w:p w14:paraId="4079449F" w14:textId="77777777" w:rsidR="00E72338" w:rsidRPr="00E72338" w:rsidRDefault="00E72338" w:rsidP="00F57CF1">
      <w:pPr>
        <w:numPr>
          <w:ilvl w:val="0"/>
          <w:numId w:val="21"/>
        </w:numPr>
        <w:jc w:val="both"/>
        <w:rPr>
          <w:iCs/>
        </w:rPr>
      </w:pPr>
      <w:r w:rsidRPr="00E72338">
        <w:rPr>
          <w:iCs/>
        </w:rPr>
        <w:t>Real and or perceived risks with Territory Families’ proposed consultation process with Aboriginal communities and organisations about sexual violence in the N</w:t>
      </w:r>
      <w:r w:rsidR="009722A0">
        <w:rPr>
          <w:iCs/>
        </w:rPr>
        <w:t>orthern Territory</w:t>
      </w:r>
      <w:r w:rsidRPr="00E72338">
        <w:rPr>
          <w:iCs/>
        </w:rPr>
        <w:t>.</w:t>
      </w:r>
    </w:p>
    <w:p w14:paraId="074A68CC" w14:textId="77777777" w:rsidR="00E72338" w:rsidRPr="00E72338" w:rsidRDefault="00E72338" w:rsidP="00F57CF1">
      <w:pPr>
        <w:numPr>
          <w:ilvl w:val="0"/>
          <w:numId w:val="21"/>
        </w:numPr>
        <w:jc w:val="both"/>
        <w:rPr>
          <w:iCs/>
        </w:rPr>
      </w:pPr>
      <w:r w:rsidRPr="00E72338">
        <w:rPr>
          <w:iCs/>
        </w:rPr>
        <w:t>Emerging issues and innovations from the field associated with sexual violence in the N</w:t>
      </w:r>
      <w:r w:rsidR="009722A0">
        <w:rPr>
          <w:iCs/>
        </w:rPr>
        <w:t>orthern Territory</w:t>
      </w:r>
      <w:r w:rsidRPr="00E72338">
        <w:rPr>
          <w:iCs/>
        </w:rPr>
        <w:t>.</w:t>
      </w:r>
    </w:p>
    <w:p w14:paraId="4CA31634" w14:textId="1AAF36E1" w:rsidR="00E72338" w:rsidRPr="00E72338" w:rsidRDefault="00E72338" w:rsidP="00F57CF1">
      <w:pPr>
        <w:numPr>
          <w:ilvl w:val="0"/>
          <w:numId w:val="21"/>
        </w:numPr>
        <w:jc w:val="both"/>
        <w:rPr>
          <w:iCs/>
        </w:rPr>
      </w:pPr>
      <w:r w:rsidRPr="00E72338">
        <w:rPr>
          <w:iCs/>
        </w:rPr>
        <w:t xml:space="preserve">Possible actions for consideration under the </w:t>
      </w:r>
      <w:r w:rsidR="00573323">
        <w:rPr>
          <w:iCs/>
        </w:rPr>
        <w:t>SVPRF</w:t>
      </w:r>
      <w:r w:rsidRPr="00E72338">
        <w:rPr>
          <w:iCs/>
        </w:rPr>
        <w:t>.</w:t>
      </w:r>
    </w:p>
    <w:p w14:paraId="2797964B" w14:textId="6A571972" w:rsidR="00E72338" w:rsidRPr="00E72338" w:rsidRDefault="00EE62F4" w:rsidP="00F57CF1">
      <w:pPr>
        <w:numPr>
          <w:ilvl w:val="0"/>
          <w:numId w:val="18"/>
        </w:numPr>
        <w:jc w:val="both"/>
        <w:rPr>
          <w:iCs/>
        </w:rPr>
      </w:pPr>
      <w:r>
        <w:rPr>
          <w:iCs/>
        </w:rPr>
        <w:t>P</w:t>
      </w:r>
      <w:r w:rsidR="00E72338" w:rsidRPr="00E72338">
        <w:rPr>
          <w:iCs/>
        </w:rPr>
        <w:t xml:space="preserve">roposed </w:t>
      </w:r>
      <w:r w:rsidR="00573323">
        <w:rPr>
          <w:iCs/>
        </w:rPr>
        <w:t>SVPRF</w:t>
      </w:r>
      <w:r w:rsidR="00E72338" w:rsidRPr="00E72338">
        <w:rPr>
          <w:iCs/>
        </w:rPr>
        <w:t xml:space="preserve"> action areas: </w:t>
      </w:r>
    </w:p>
    <w:p w14:paraId="7D6D8712" w14:textId="77777777" w:rsidR="00E72338" w:rsidRPr="00E72338" w:rsidRDefault="00E72338" w:rsidP="00F57CF1">
      <w:pPr>
        <w:numPr>
          <w:ilvl w:val="1"/>
          <w:numId w:val="18"/>
        </w:numPr>
        <w:jc w:val="both"/>
        <w:rPr>
          <w:iCs/>
        </w:rPr>
      </w:pPr>
      <w:r w:rsidRPr="00E72338">
        <w:rPr>
          <w:iCs/>
        </w:rPr>
        <w:t>Preventing sexual violence;</w:t>
      </w:r>
    </w:p>
    <w:p w14:paraId="6DE3B6D8" w14:textId="77777777" w:rsidR="00E72338" w:rsidRPr="00E72338" w:rsidRDefault="00E72338" w:rsidP="00F57CF1">
      <w:pPr>
        <w:numPr>
          <w:ilvl w:val="1"/>
          <w:numId w:val="18"/>
        </w:numPr>
        <w:jc w:val="both"/>
        <w:rPr>
          <w:iCs/>
        </w:rPr>
      </w:pPr>
      <w:r w:rsidRPr="00E72338">
        <w:rPr>
          <w:iCs/>
        </w:rPr>
        <w:t>Responding to children and young people who have experienced sexual violence, including children and young people with problem and harmful sexual behaviours;</w:t>
      </w:r>
    </w:p>
    <w:p w14:paraId="53EA7FAB" w14:textId="77777777" w:rsidR="00E72338" w:rsidRPr="00E72338" w:rsidRDefault="00E72338" w:rsidP="00F57CF1">
      <w:pPr>
        <w:numPr>
          <w:ilvl w:val="1"/>
          <w:numId w:val="18"/>
        </w:numPr>
        <w:jc w:val="both"/>
        <w:rPr>
          <w:iCs/>
        </w:rPr>
      </w:pPr>
      <w:r w:rsidRPr="00E72338">
        <w:rPr>
          <w:iCs/>
        </w:rPr>
        <w:t>Responding to adults who have experienced sexual violence;</w:t>
      </w:r>
    </w:p>
    <w:p w14:paraId="66309F0E" w14:textId="77777777" w:rsidR="00E72338" w:rsidRPr="00E72338" w:rsidRDefault="00E72338" w:rsidP="00F57CF1">
      <w:pPr>
        <w:numPr>
          <w:ilvl w:val="1"/>
          <w:numId w:val="18"/>
        </w:numPr>
        <w:jc w:val="both"/>
        <w:rPr>
          <w:iCs/>
        </w:rPr>
      </w:pPr>
      <w:r w:rsidRPr="00E72338">
        <w:rPr>
          <w:iCs/>
        </w:rPr>
        <w:t>Responding to adults who have committed sexual violence; and,</w:t>
      </w:r>
    </w:p>
    <w:p w14:paraId="7252D76A" w14:textId="77777777" w:rsidR="00E72338" w:rsidRPr="00E72338" w:rsidRDefault="00E72338" w:rsidP="00F57CF1">
      <w:pPr>
        <w:numPr>
          <w:ilvl w:val="1"/>
          <w:numId w:val="18"/>
        </w:numPr>
        <w:jc w:val="both"/>
        <w:rPr>
          <w:iCs/>
        </w:rPr>
      </w:pPr>
      <w:r w:rsidRPr="00E72338">
        <w:rPr>
          <w:iCs/>
        </w:rPr>
        <w:t>Strengthening systems that respond to sexual violence.</w:t>
      </w:r>
    </w:p>
    <w:p w14:paraId="6F1EFCF5" w14:textId="77777777" w:rsidR="00E72338" w:rsidRPr="00E72338" w:rsidRDefault="00E72338" w:rsidP="00F57CF1">
      <w:pPr>
        <w:jc w:val="both"/>
        <w:rPr>
          <w:iCs/>
        </w:rPr>
      </w:pPr>
      <w:r w:rsidRPr="00E72338">
        <w:rPr>
          <w:iCs/>
        </w:rPr>
        <w:t>A decision was taken during preliminary consultations not to conduct consultations in remote Aboriginal communities for the following reasons:</w:t>
      </w:r>
    </w:p>
    <w:p w14:paraId="12DB4229" w14:textId="77777777" w:rsidR="00E72338" w:rsidRPr="00E72338" w:rsidRDefault="00E72338" w:rsidP="00F57CF1">
      <w:pPr>
        <w:numPr>
          <w:ilvl w:val="0"/>
          <w:numId w:val="19"/>
        </w:numPr>
        <w:jc w:val="both"/>
        <w:rPr>
          <w:iCs/>
        </w:rPr>
      </w:pPr>
      <w:r w:rsidRPr="00E72338">
        <w:rPr>
          <w:iCs/>
        </w:rPr>
        <w:t>wariness of raising issues of sexual violence in communities where there is no or limited therapeutic services to respond to disclosures of sexual violence after the consulting team leave the community;</w:t>
      </w:r>
    </w:p>
    <w:p w14:paraId="0085DBD1" w14:textId="77777777" w:rsidR="00E72338" w:rsidRPr="00E72338" w:rsidRDefault="00E72338" w:rsidP="00F57CF1">
      <w:pPr>
        <w:numPr>
          <w:ilvl w:val="0"/>
          <w:numId w:val="19"/>
        </w:numPr>
        <w:jc w:val="both"/>
        <w:rPr>
          <w:iCs/>
        </w:rPr>
      </w:pPr>
      <w:r w:rsidRPr="00E72338">
        <w:rPr>
          <w:iCs/>
        </w:rPr>
        <w:lastRenderedPageBreak/>
        <w:t>confirmation through preliminary consultations that discussions in remote Aboriginal communities about sexual violence need to be conducted over the long term</w:t>
      </w:r>
      <w:r w:rsidR="00EE62F4">
        <w:rPr>
          <w:iCs/>
        </w:rPr>
        <w:t xml:space="preserve"> and at the pace set by communities</w:t>
      </w:r>
      <w:r w:rsidRPr="00E72338">
        <w:rPr>
          <w:iCs/>
        </w:rPr>
        <w:t>;</w:t>
      </w:r>
    </w:p>
    <w:p w14:paraId="2A4E87E4" w14:textId="3BD524C2" w:rsidR="00E72338" w:rsidRPr="00E72338" w:rsidRDefault="00E72338" w:rsidP="00F57CF1">
      <w:pPr>
        <w:numPr>
          <w:ilvl w:val="0"/>
          <w:numId w:val="19"/>
        </w:numPr>
        <w:jc w:val="both"/>
        <w:rPr>
          <w:iCs/>
        </w:rPr>
      </w:pPr>
      <w:r w:rsidRPr="00E72338">
        <w:rPr>
          <w:iCs/>
        </w:rPr>
        <w:t xml:space="preserve">the expectation that, over the life of </w:t>
      </w:r>
      <w:r w:rsidR="00573323">
        <w:rPr>
          <w:iCs/>
        </w:rPr>
        <w:t>the SVPRF</w:t>
      </w:r>
      <w:r w:rsidRPr="00E72338">
        <w:rPr>
          <w:iCs/>
        </w:rPr>
        <w:t>, mechanisms for safe conversations about sexual violence in remote Aboriginal communities will be developed; and,</w:t>
      </w:r>
    </w:p>
    <w:p w14:paraId="21BFFAB1" w14:textId="77777777" w:rsidR="00E72338" w:rsidRPr="00F57CF1" w:rsidRDefault="00E72338" w:rsidP="00F57CF1">
      <w:pPr>
        <w:numPr>
          <w:ilvl w:val="0"/>
          <w:numId w:val="19"/>
        </w:numPr>
        <w:jc w:val="both"/>
        <w:rPr>
          <w:iCs/>
        </w:rPr>
      </w:pPr>
      <w:r w:rsidRPr="00E72338">
        <w:rPr>
          <w:iCs/>
        </w:rPr>
        <w:t>that for some remote Aboriginal communities, their most recent experience of government consultations on sexual violence may have been during the development of the</w:t>
      </w:r>
      <w:r w:rsidRPr="00E72338">
        <w:rPr>
          <w:i/>
          <w:iCs/>
        </w:rPr>
        <w:t xml:space="preserve"> Little Children Are Sacred </w:t>
      </w:r>
      <w:r w:rsidRPr="00E72338">
        <w:rPr>
          <w:iCs/>
        </w:rPr>
        <w:t>report. The publishing of that report led to the Commonwealth Government N</w:t>
      </w:r>
      <w:r w:rsidR="001835B4">
        <w:rPr>
          <w:iCs/>
        </w:rPr>
        <w:t>orthern Territory</w:t>
      </w:r>
      <w:r w:rsidRPr="00E72338">
        <w:rPr>
          <w:iCs/>
        </w:rPr>
        <w:t xml:space="preserve"> Emergency Response, the effects of which are ongoing or perceived to be ongoing and associated with </w:t>
      </w:r>
      <w:r w:rsidR="000864D8">
        <w:rPr>
          <w:iCs/>
        </w:rPr>
        <w:t xml:space="preserve">actions of </w:t>
      </w:r>
      <w:r w:rsidRPr="00E72338">
        <w:rPr>
          <w:iCs/>
        </w:rPr>
        <w:t xml:space="preserve">government departments.   </w:t>
      </w:r>
    </w:p>
    <w:p w14:paraId="5D011481" w14:textId="77777777" w:rsidR="00E72338" w:rsidRPr="00E72338" w:rsidRDefault="00E72338" w:rsidP="00F57CF1">
      <w:pPr>
        <w:jc w:val="both"/>
        <w:rPr>
          <w:iCs/>
        </w:rPr>
      </w:pPr>
      <w:r w:rsidRPr="00E72338">
        <w:rPr>
          <w:b/>
          <w:iCs/>
        </w:rPr>
        <w:t>Stage 2:</w:t>
      </w:r>
      <w:r w:rsidRPr="00E72338">
        <w:rPr>
          <w:iCs/>
        </w:rPr>
        <w:t xml:space="preserve"> From April to July 2019, consultations were broadened to the regions and included generalist NGOs, specialist DFSV networks and Local Reference Groups</w:t>
      </w:r>
      <w:r w:rsidR="00FA0D5C">
        <w:rPr>
          <w:iCs/>
        </w:rPr>
        <w:t xml:space="preserve">, </w:t>
      </w:r>
      <w:r w:rsidRPr="00E72338">
        <w:rPr>
          <w:iCs/>
        </w:rPr>
        <w:t>Aboriginal Community Controlled Health Organisations and government agencies.</w:t>
      </w:r>
    </w:p>
    <w:p w14:paraId="0D7C83E7" w14:textId="77777777" w:rsidR="00E72338" w:rsidRPr="00F57CF1" w:rsidRDefault="00E72338" w:rsidP="00F57CF1">
      <w:pPr>
        <w:jc w:val="both"/>
        <w:rPr>
          <w:iCs/>
        </w:rPr>
      </w:pPr>
      <w:r w:rsidRPr="00E72338">
        <w:rPr>
          <w:iCs/>
        </w:rPr>
        <w:t>In May and June 2019</w:t>
      </w:r>
      <w:r w:rsidRPr="00E72338">
        <w:rPr>
          <w:b/>
          <w:iCs/>
        </w:rPr>
        <w:t xml:space="preserve"> </w:t>
      </w:r>
      <w:r w:rsidRPr="00E72338">
        <w:rPr>
          <w:iCs/>
        </w:rPr>
        <w:t xml:space="preserve">the DFSV Cross Agency Working Group (CAWG) members were provided with an opportunity to comment on the discussion paper. </w:t>
      </w:r>
    </w:p>
    <w:p w14:paraId="7CDCE76B" w14:textId="47A49CA9" w:rsidR="00E72338" w:rsidRPr="00E72338" w:rsidRDefault="00E72338" w:rsidP="00F57CF1">
      <w:pPr>
        <w:jc w:val="both"/>
        <w:rPr>
          <w:iCs/>
        </w:rPr>
      </w:pPr>
      <w:r w:rsidRPr="00E72338">
        <w:rPr>
          <w:b/>
          <w:iCs/>
        </w:rPr>
        <w:t>Stage 3:</w:t>
      </w:r>
      <w:r w:rsidRPr="00E72338">
        <w:rPr>
          <w:iCs/>
        </w:rPr>
        <w:t xml:space="preserve"> A discussion paper was developed and released for public comment from 3 July to 16 August 2019. </w:t>
      </w:r>
      <w:r w:rsidRPr="00E72338">
        <w:t>The opportunity to comment on the discussion paper was promoted through social media, the N</w:t>
      </w:r>
      <w:r w:rsidR="00911FC7">
        <w:t>orthern Territory</w:t>
      </w:r>
      <w:r w:rsidRPr="00E72338">
        <w:t xml:space="preserve"> Government Have Your Say website, </w:t>
      </w:r>
      <w:r w:rsidR="00E807F3">
        <w:t xml:space="preserve">agency networks, </w:t>
      </w:r>
      <w:r w:rsidRPr="00E72338">
        <w:t>email invitation and face to face consultations.</w:t>
      </w:r>
      <w:r w:rsidR="00BC07EC">
        <w:rPr>
          <w:iCs/>
        </w:rPr>
        <w:t xml:space="preserve"> </w:t>
      </w:r>
      <w:r w:rsidRPr="00E72338">
        <w:rPr>
          <w:iCs/>
        </w:rPr>
        <w:t>A total of 34 submissions were received, comprising:</w:t>
      </w:r>
    </w:p>
    <w:p w14:paraId="41A6DE0B" w14:textId="77777777" w:rsidR="00E72338" w:rsidRPr="00E72338" w:rsidRDefault="00E72338" w:rsidP="00F57CF1">
      <w:pPr>
        <w:numPr>
          <w:ilvl w:val="0"/>
          <w:numId w:val="18"/>
        </w:numPr>
        <w:jc w:val="both"/>
        <w:rPr>
          <w:iCs/>
        </w:rPr>
      </w:pPr>
      <w:r w:rsidRPr="00E72338">
        <w:rPr>
          <w:iCs/>
        </w:rPr>
        <w:t>16 written submissions from NGOs, Aboriginal Community Controlled organisations and independent statutory entities;</w:t>
      </w:r>
    </w:p>
    <w:p w14:paraId="39A134AC" w14:textId="77777777" w:rsidR="00BC07EC" w:rsidRDefault="00E72338" w:rsidP="00F57CF1">
      <w:pPr>
        <w:numPr>
          <w:ilvl w:val="0"/>
          <w:numId w:val="18"/>
        </w:numPr>
        <w:jc w:val="both"/>
        <w:rPr>
          <w:iCs/>
        </w:rPr>
      </w:pPr>
      <w:r w:rsidRPr="00E72338">
        <w:rPr>
          <w:iCs/>
        </w:rPr>
        <w:t>4 written responses from individuals; and</w:t>
      </w:r>
      <w:r w:rsidR="006A03E6">
        <w:rPr>
          <w:iCs/>
        </w:rPr>
        <w:t>,</w:t>
      </w:r>
    </w:p>
    <w:p w14:paraId="786E7ACE" w14:textId="77777777" w:rsidR="00D43546" w:rsidRDefault="00E72338" w:rsidP="00D43546">
      <w:pPr>
        <w:numPr>
          <w:ilvl w:val="0"/>
          <w:numId w:val="18"/>
        </w:numPr>
        <w:jc w:val="both"/>
        <w:rPr>
          <w:iCs/>
        </w:rPr>
      </w:pPr>
      <w:r w:rsidRPr="00E72338">
        <w:t>14 contributors through the Have Your Say website</w:t>
      </w:r>
    </w:p>
    <w:p w14:paraId="416A2640" w14:textId="77777777" w:rsidR="00F57CF1" w:rsidRPr="00F57CF1" w:rsidRDefault="00F57CF1" w:rsidP="00F57CF1">
      <w:pPr>
        <w:jc w:val="both"/>
      </w:pPr>
      <w:r w:rsidRPr="00F57CF1">
        <w:rPr>
          <w:b/>
        </w:rPr>
        <w:t xml:space="preserve">Stage 4: </w:t>
      </w:r>
      <w:r>
        <w:t>W</w:t>
      </w:r>
      <w:r w:rsidRPr="00F57CF1">
        <w:t xml:space="preserve">orkshops with government agencies with sexual violence service delivery responsibilities (including policy, practice and data) </w:t>
      </w:r>
      <w:r>
        <w:t>were</w:t>
      </w:r>
      <w:r w:rsidRPr="00F57CF1">
        <w:t xml:space="preserve"> held in September 2019. </w:t>
      </w:r>
    </w:p>
    <w:p w14:paraId="204A3101" w14:textId="77777777" w:rsidR="00F57CF1" w:rsidRPr="00F57CF1" w:rsidRDefault="00F57CF1" w:rsidP="00F57CF1">
      <w:pPr>
        <w:jc w:val="both"/>
      </w:pPr>
      <w:r w:rsidRPr="00F57CF1">
        <w:t xml:space="preserve">These workshops </w:t>
      </w:r>
      <w:r>
        <w:t xml:space="preserve">were </w:t>
      </w:r>
      <w:r w:rsidRPr="00F57CF1">
        <w:t>to develop priority actions on sexual violence prevention and system responses for children and young people who have experienced sexual violence, including children and young people with problem or harmful sexual behaviours, adults who have experienced sexual violence, and adults who commit sexual violence.</w:t>
      </w:r>
    </w:p>
    <w:p w14:paraId="5946BF57" w14:textId="77777777" w:rsidR="00425B97" w:rsidRDefault="00711A2C" w:rsidP="00F57CF1">
      <w:pPr>
        <w:jc w:val="both"/>
        <w:rPr>
          <w:b/>
        </w:rPr>
      </w:pPr>
      <w:r w:rsidRPr="00711A2C">
        <w:rPr>
          <w:b/>
        </w:rPr>
        <w:t xml:space="preserve">THEMES ARISING FROM THE CONSULTATION </w:t>
      </w:r>
    </w:p>
    <w:p w14:paraId="0A274D7E" w14:textId="77777777" w:rsidR="00711A2C" w:rsidRPr="00711A2C" w:rsidRDefault="00711A2C" w:rsidP="00711A2C">
      <w:pPr>
        <w:jc w:val="both"/>
      </w:pPr>
      <w:r w:rsidRPr="00711A2C">
        <w:t>Numerous and in-depth descriptions were received outlining possible elements of sexual violence prevention frameworks, program development and delivery models for Aboriginal communities and the community at large, across all settings and the life course for all Territorians.</w:t>
      </w:r>
    </w:p>
    <w:p w14:paraId="20D488EE" w14:textId="77777777" w:rsidR="00711A2C" w:rsidRPr="00711A2C" w:rsidRDefault="00711A2C" w:rsidP="00711A2C">
      <w:pPr>
        <w:jc w:val="both"/>
      </w:pPr>
      <w:r w:rsidRPr="00711A2C">
        <w:t xml:space="preserve">There was wide support from government, Aboriginal Community Controlled Organisations and NGOs for a public health approach adapted for sexual violence prevention. </w:t>
      </w:r>
    </w:p>
    <w:p w14:paraId="1495E81B" w14:textId="7E539232" w:rsidR="00BC07EC" w:rsidRDefault="00BC07EC" w:rsidP="00711A2C">
      <w:pPr>
        <w:jc w:val="both"/>
      </w:pPr>
      <w:r w:rsidRPr="00BC07EC">
        <w:t>A majority of submissions focussed on responses to children and young people experiencing sexual violence, and children and young people with problem and harmful sexual behaviours.  It was suggested that th</w:t>
      </w:r>
      <w:r w:rsidR="00911FC7">
        <w:t>e SVPRF</w:t>
      </w:r>
      <w:r w:rsidRPr="00BC07EC">
        <w:t xml:space="preserve"> represents a chance to reset how sexual violence, particularly child sexual abuse, is approached in the N</w:t>
      </w:r>
      <w:r w:rsidR="00911FC7">
        <w:t>orthern Territory</w:t>
      </w:r>
      <w:r w:rsidRPr="00BC07EC">
        <w:t>.</w:t>
      </w:r>
    </w:p>
    <w:p w14:paraId="55F61EE3" w14:textId="1E2C0126" w:rsidR="00711A2C" w:rsidRPr="00711A2C" w:rsidRDefault="00711A2C" w:rsidP="00711A2C">
      <w:pPr>
        <w:jc w:val="both"/>
      </w:pPr>
      <w:r w:rsidRPr="00711A2C">
        <w:t>The consultations were clear that there is a lack of appropriate services available in the N</w:t>
      </w:r>
      <w:r w:rsidR="0066276D">
        <w:t>orthern Territory</w:t>
      </w:r>
      <w:r w:rsidRPr="00711A2C">
        <w:t xml:space="preserve"> to work with children and young people who have experienced sexual violence.  It was clear that therapeutic interventions to respond to children and young people that have experienced sexual violence should be trauma informed, culturally responsive and underpinned by attachment theory. </w:t>
      </w:r>
    </w:p>
    <w:p w14:paraId="5E0BC474" w14:textId="66E1D95C" w:rsidR="00711A2C" w:rsidRPr="00711A2C" w:rsidRDefault="00711A2C" w:rsidP="00711A2C">
      <w:pPr>
        <w:jc w:val="both"/>
      </w:pPr>
      <w:r w:rsidRPr="00711A2C">
        <w:lastRenderedPageBreak/>
        <w:t xml:space="preserve">Children </w:t>
      </w:r>
      <w:r w:rsidR="00BC07EC">
        <w:t xml:space="preserve">and young people </w:t>
      </w:r>
      <w:r w:rsidRPr="00711A2C">
        <w:t>with harmful sexual behaviours is a significant issue and appeared frequently in consultations and submissions. Children and young people viewing pornography was reported as a concern and anecdotally linked to the rise in problem and harmful sexual behaviour. An immediate and comprehensive approach that includes outreac</w:t>
      </w:r>
      <w:r w:rsidR="0066276D">
        <w:t>h to rural and remote locations</w:t>
      </w:r>
      <w:r w:rsidRPr="00711A2C">
        <w:t xml:space="preserve"> is required to address this issue. </w:t>
      </w:r>
    </w:p>
    <w:p w14:paraId="047C75C1" w14:textId="77777777" w:rsidR="004B5BF9" w:rsidRPr="00D43546" w:rsidRDefault="00711A2C" w:rsidP="004B5BF9">
      <w:pPr>
        <w:jc w:val="both"/>
      </w:pPr>
      <w:r w:rsidRPr="00711A2C">
        <w:t xml:space="preserve">Consultation discussions regarding adults who have experienced sexual violence centred on securing service provision across the life course. This acknowledges that the trauma from sexual violence manifests in different ways at different times across a person’s life. </w:t>
      </w:r>
      <w:r w:rsidR="004B5BF9">
        <w:rPr>
          <w:iCs/>
        </w:rPr>
        <w:t xml:space="preserve">One </w:t>
      </w:r>
      <w:r w:rsidR="004B5BF9" w:rsidRPr="00BC07EC">
        <w:rPr>
          <w:iCs/>
        </w:rPr>
        <w:t xml:space="preserve">submission </w:t>
      </w:r>
      <w:r w:rsidR="004B5BF9">
        <w:rPr>
          <w:iCs/>
        </w:rPr>
        <w:t xml:space="preserve">was received </w:t>
      </w:r>
      <w:r w:rsidR="004B5BF9" w:rsidRPr="00BC07EC">
        <w:rPr>
          <w:iCs/>
        </w:rPr>
        <w:t>that focused on banning pornography and prostitution based on the perspective that these actions exploit women.</w:t>
      </w:r>
    </w:p>
    <w:p w14:paraId="35BE17E6" w14:textId="668FC93B" w:rsidR="00711A2C" w:rsidRPr="00711A2C" w:rsidRDefault="00711A2C" w:rsidP="00711A2C">
      <w:pPr>
        <w:jc w:val="both"/>
      </w:pPr>
      <w:r w:rsidRPr="00711A2C">
        <w:t>It was recommended that therapeutic interventions to respond to people who have experienced sexual violence are trauma informed and culturally responsive. Free, accessible, flexible sources of information and support is required including in the form of local face to face counselling, healing groups, art therapy, web site</w:t>
      </w:r>
      <w:r w:rsidR="0066276D">
        <w:t>s</w:t>
      </w:r>
      <w:r w:rsidRPr="00711A2C">
        <w:t xml:space="preserve">, online counselling (in a language of choice), legal and court support. </w:t>
      </w:r>
    </w:p>
    <w:p w14:paraId="58A7A187" w14:textId="77777777" w:rsidR="00711A2C" w:rsidRPr="00711A2C" w:rsidRDefault="00711A2C" w:rsidP="00711A2C">
      <w:pPr>
        <w:jc w:val="both"/>
      </w:pPr>
      <w:r w:rsidRPr="00711A2C">
        <w:t xml:space="preserve">The consultations reinforced there is a significant gap in the provision of services that address the offending behaviour of adults who use sexual violence on others. The reach and effectiveness of existing services should be examined </w:t>
      </w:r>
      <w:r w:rsidR="006A03E6">
        <w:t>against</w:t>
      </w:r>
      <w:r w:rsidR="006A03E6" w:rsidRPr="00711A2C">
        <w:t xml:space="preserve"> </w:t>
      </w:r>
      <w:r w:rsidRPr="00711A2C">
        <w:t xml:space="preserve">innovations from Australia and internationally.  </w:t>
      </w:r>
    </w:p>
    <w:p w14:paraId="31ECA31E" w14:textId="4A7F9DDD" w:rsidR="00711A2C" w:rsidRPr="00711A2C" w:rsidRDefault="00711A2C" w:rsidP="00F57CF1">
      <w:pPr>
        <w:jc w:val="both"/>
      </w:pPr>
      <w:r w:rsidRPr="00711A2C">
        <w:t>All regions</w:t>
      </w:r>
      <w:r w:rsidR="0066276D">
        <w:t xml:space="preserve"> across the Northern Territory</w:t>
      </w:r>
      <w:r w:rsidRPr="00711A2C">
        <w:t xml:space="preserve"> expressed the need for information about how to support and provide services to people who commit sexual violence. Social and emotional wellbeing approaches are important given that young males exposed to violence and sexual abuse are at higher risk of developing poor mental health and are at higher risk of suicide and self-harm, incarceration, homelessness, misusing alcohol and other drugs and using violence on others.</w:t>
      </w:r>
    </w:p>
    <w:p w14:paraId="5E3A7F07" w14:textId="34FF1C1A" w:rsidR="00711A2C" w:rsidRPr="00711A2C" w:rsidRDefault="00711A2C" w:rsidP="00711A2C">
      <w:pPr>
        <w:jc w:val="both"/>
      </w:pPr>
      <w:r w:rsidRPr="00711A2C">
        <w:t>It is clear that a baseline of the nature, extent and drivers of sexual violence in the N</w:t>
      </w:r>
      <w:r w:rsidR="009722A0">
        <w:t>orthern Territory</w:t>
      </w:r>
      <w:r w:rsidRPr="00711A2C">
        <w:t xml:space="preserve"> needs to be established, and the </w:t>
      </w:r>
      <w:r w:rsidR="0066276D">
        <w:t>SVPRF</w:t>
      </w:r>
      <w:r w:rsidRPr="00711A2C">
        <w:t xml:space="preserve"> will drive this data collection and analysis. An understanding of the nature and extent of sexual violence in the N</w:t>
      </w:r>
      <w:r w:rsidR="009722A0">
        <w:t>orthern Territory</w:t>
      </w:r>
      <w:r w:rsidRPr="00711A2C">
        <w:t xml:space="preserve"> also requires an analysis of relevant and related legislation, guidelines and standards, policy responses, program and service development</w:t>
      </w:r>
      <w:r w:rsidR="006A03E6">
        <w:t>.</w:t>
      </w:r>
    </w:p>
    <w:p w14:paraId="0528142D" w14:textId="77777777" w:rsidR="00C2723C" w:rsidRPr="00711A2C" w:rsidRDefault="00711A2C" w:rsidP="00711A2C">
      <w:pPr>
        <w:jc w:val="both"/>
      </w:pPr>
      <w:r w:rsidRPr="00711A2C">
        <w:t>It was reported that workforce capacity building, practice skills and clinical supervision for specialist DFSV workers to respond to child sexual assault and sexual violence is required.</w:t>
      </w:r>
    </w:p>
    <w:p w14:paraId="6D9AB3A6" w14:textId="77777777" w:rsidR="00711A2C" w:rsidRPr="00711A2C" w:rsidRDefault="00711A2C" w:rsidP="00F57CF1">
      <w:pPr>
        <w:jc w:val="both"/>
        <w:rPr>
          <w:b/>
        </w:rPr>
      </w:pPr>
      <w:r>
        <w:rPr>
          <w:b/>
        </w:rPr>
        <w:t>Key themes arising</w:t>
      </w:r>
      <w:r w:rsidR="004E1522">
        <w:rPr>
          <w:b/>
        </w:rPr>
        <w:t xml:space="preserve"> from the consultations</w:t>
      </w:r>
      <w:r>
        <w:rPr>
          <w:b/>
        </w:rPr>
        <w:t>:</w:t>
      </w:r>
    </w:p>
    <w:p w14:paraId="62EAD513" w14:textId="77777777" w:rsidR="00425B97" w:rsidRPr="00425B97" w:rsidRDefault="004E1522" w:rsidP="00F57CF1">
      <w:pPr>
        <w:numPr>
          <w:ilvl w:val="0"/>
          <w:numId w:val="16"/>
        </w:numPr>
        <w:jc w:val="both"/>
        <w:rPr>
          <w:iCs/>
        </w:rPr>
      </w:pPr>
      <w:r>
        <w:rPr>
          <w:iCs/>
        </w:rPr>
        <w:t>S</w:t>
      </w:r>
      <w:r w:rsidR="00425B97" w:rsidRPr="00425B97">
        <w:rPr>
          <w:iCs/>
        </w:rPr>
        <w:t xml:space="preserve">exual violence is a complex and sensitive issue, </w:t>
      </w:r>
      <w:r w:rsidR="00376604">
        <w:rPr>
          <w:iCs/>
        </w:rPr>
        <w:t>but</w:t>
      </w:r>
      <w:r w:rsidR="00376604" w:rsidRPr="00425B97">
        <w:rPr>
          <w:iCs/>
        </w:rPr>
        <w:t xml:space="preserve"> </w:t>
      </w:r>
      <w:r w:rsidR="00425B97" w:rsidRPr="00425B97">
        <w:rPr>
          <w:iCs/>
        </w:rPr>
        <w:t>there is willingness in</w:t>
      </w:r>
      <w:r>
        <w:rPr>
          <w:iCs/>
        </w:rPr>
        <w:t xml:space="preserve"> the community to talk about it.</w:t>
      </w:r>
    </w:p>
    <w:p w14:paraId="65FD17C9" w14:textId="77777777" w:rsidR="00425B97" w:rsidRPr="00425B97" w:rsidRDefault="004E1522" w:rsidP="00F57CF1">
      <w:pPr>
        <w:numPr>
          <w:ilvl w:val="0"/>
          <w:numId w:val="16"/>
        </w:numPr>
        <w:jc w:val="both"/>
        <w:rPr>
          <w:iCs/>
        </w:rPr>
      </w:pPr>
      <w:r>
        <w:rPr>
          <w:iCs/>
        </w:rPr>
        <w:t>G</w:t>
      </w:r>
      <w:r w:rsidR="00425B97" w:rsidRPr="00425B97">
        <w:rPr>
          <w:iCs/>
        </w:rPr>
        <w:t>iven the disproportionate statistical representation of Aboriginal people in the number of people who experience sexual violence, the Framework must consider:</w:t>
      </w:r>
    </w:p>
    <w:p w14:paraId="39866AB6" w14:textId="77777777" w:rsidR="00425B97" w:rsidRPr="00425B97" w:rsidRDefault="00425B97" w:rsidP="00F57CF1">
      <w:pPr>
        <w:numPr>
          <w:ilvl w:val="1"/>
          <w:numId w:val="15"/>
        </w:numPr>
        <w:jc w:val="both"/>
        <w:rPr>
          <w:iCs/>
        </w:rPr>
      </w:pPr>
      <w:r w:rsidRPr="00425B97">
        <w:rPr>
          <w:iCs/>
        </w:rPr>
        <w:t>addressing the ongoing impacts of colonisation including experiences of racial discrimination, impacts of shame and historical, intergenerational and lateral trauma;</w:t>
      </w:r>
    </w:p>
    <w:p w14:paraId="74B8A925" w14:textId="77777777" w:rsidR="00425B97" w:rsidRPr="00425B97" w:rsidRDefault="00425B97" w:rsidP="00F57CF1">
      <w:pPr>
        <w:numPr>
          <w:ilvl w:val="1"/>
          <w:numId w:val="15"/>
        </w:numPr>
        <w:jc w:val="both"/>
        <w:rPr>
          <w:iCs/>
        </w:rPr>
      </w:pPr>
      <w:r w:rsidRPr="00425B97">
        <w:rPr>
          <w:iCs/>
        </w:rPr>
        <w:t>developing Northern Territory specific culturally responsive and trauma informed approaches to prevention;</w:t>
      </w:r>
    </w:p>
    <w:p w14:paraId="6B3DF942" w14:textId="77777777" w:rsidR="00425B97" w:rsidRPr="00425B97" w:rsidRDefault="00425B97" w:rsidP="00F57CF1">
      <w:pPr>
        <w:numPr>
          <w:ilvl w:val="1"/>
          <w:numId w:val="15"/>
        </w:numPr>
        <w:jc w:val="both"/>
        <w:rPr>
          <w:iCs/>
        </w:rPr>
      </w:pPr>
      <w:r w:rsidRPr="00425B97">
        <w:rPr>
          <w:iCs/>
        </w:rPr>
        <w:t xml:space="preserve">centralising Aboriginal people and communities in SVPRF development and implementation; </w:t>
      </w:r>
    </w:p>
    <w:p w14:paraId="43904CE4" w14:textId="1771652C" w:rsidR="00425B97" w:rsidRPr="00425B97" w:rsidRDefault="00425B97" w:rsidP="00F57CF1">
      <w:pPr>
        <w:numPr>
          <w:ilvl w:val="1"/>
          <w:numId w:val="15"/>
        </w:numPr>
        <w:jc w:val="both"/>
        <w:rPr>
          <w:iCs/>
        </w:rPr>
      </w:pPr>
      <w:r w:rsidRPr="00425B97">
        <w:rPr>
          <w:iCs/>
        </w:rPr>
        <w:t xml:space="preserve">underpinning the SVPRF with the principles of self-determination and </w:t>
      </w:r>
      <w:r w:rsidRPr="00425B97">
        <w:rPr>
          <w:iCs/>
        </w:rPr>
        <w:br/>
        <w:t>co-design with communities, requiring a commitment to funding and supporting Aboriginal community controlled services; and</w:t>
      </w:r>
    </w:p>
    <w:p w14:paraId="11E2A0AC" w14:textId="77777777" w:rsidR="00425B97" w:rsidRPr="00425B97" w:rsidRDefault="00425B97" w:rsidP="00F57CF1">
      <w:pPr>
        <w:numPr>
          <w:ilvl w:val="1"/>
          <w:numId w:val="15"/>
        </w:numPr>
        <w:jc w:val="both"/>
        <w:rPr>
          <w:iCs/>
        </w:rPr>
      </w:pPr>
      <w:r w:rsidRPr="00425B97">
        <w:rPr>
          <w:iCs/>
        </w:rPr>
        <w:lastRenderedPageBreak/>
        <w:t xml:space="preserve">accountability to Aboriginal people, organisations and communities by including measures and actions that promote safe Aboriginal leadership and community led decision making, especially that </w:t>
      </w:r>
      <w:r w:rsidR="004E1522">
        <w:rPr>
          <w:iCs/>
        </w:rPr>
        <w:t>which involves Aboriginal women.</w:t>
      </w:r>
    </w:p>
    <w:p w14:paraId="3E3A91CB" w14:textId="77777777" w:rsidR="00425B97" w:rsidRPr="00425B97" w:rsidRDefault="004E1522" w:rsidP="00F57CF1">
      <w:pPr>
        <w:numPr>
          <w:ilvl w:val="0"/>
          <w:numId w:val="16"/>
        </w:numPr>
        <w:jc w:val="both"/>
        <w:rPr>
          <w:iCs/>
        </w:rPr>
      </w:pPr>
      <w:r>
        <w:rPr>
          <w:iCs/>
        </w:rPr>
        <w:t>T</w:t>
      </w:r>
      <w:r w:rsidR="00425B97" w:rsidRPr="00425B97">
        <w:rPr>
          <w:iCs/>
        </w:rPr>
        <w:t>he SVPRF should consider sexual violence as a gendered crime. For Aboriginal women, sexual violence is both a racialised and gendered crime, which is interconnected with colonial violence, intergenerational t</w:t>
      </w:r>
      <w:r>
        <w:rPr>
          <w:iCs/>
        </w:rPr>
        <w:t>rauma and racial discrimination.</w:t>
      </w:r>
    </w:p>
    <w:p w14:paraId="67F7F222" w14:textId="77777777" w:rsidR="00425B97" w:rsidRPr="00425B97" w:rsidRDefault="004E1522" w:rsidP="00F57CF1">
      <w:pPr>
        <w:numPr>
          <w:ilvl w:val="0"/>
          <w:numId w:val="16"/>
        </w:numPr>
        <w:jc w:val="both"/>
        <w:rPr>
          <w:iCs/>
        </w:rPr>
      </w:pPr>
      <w:r>
        <w:rPr>
          <w:iCs/>
        </w:rPr>
        <w:t>S</w:t>
      </w:r>
      <w:r w:rsidR="00425B97" w:rsidRPr="00425B97">
        <w:rPr>
          <w:iCs/>
        </w:rPr>
        <w:t>pecialist, child centred responses to children and young people with problem and harmful sexual be</w:t>
      </w:r>
      <w:r>
        <w:rPr>
          <w:iCs/>
        </w:rPr>
        <w:t>haviours are urgently required.</w:t>
      </w:r>
    </w:p>
    <w:p w14:paraId="2E10F6F1" w14:textId="656ECAC9" w:rsidR="00425B97" w:rsidRPr="00425B97" w:rsidRDefault="004E1522" w:rsidP="00F57CF1">
      <w:pPr>
        <w:numPr>
          <w:ilvl w:val="0"/>
          <w:numId w:val="16"/>
        </w:numPr>
        <w:jc w:val="both"/>
        <w:rPr>
          <w:iCs/>
        </w:rPr>
      </w:pPr>
      <w:r>
        <w:rPr>
          <w:iCs/>
        </w:rPr>
        <w:t>S</w:t>
      </w:r>
      <w:r w:rsidR="00425B97" w:rsidRPr="00425B97">
        <w:rPr>
          <w:iCs/>
        </w:rPr>
        <w:t>pecialist DFSV and universal services require support to increase capacity to screen for, and respond to, women</w:t>
      </w:r>
      <w:r w:rsidR="0066276D">
        <w:rPr>
          <w:iCs/>
        </w:rPr>
        <w:t xml:space="preserve"> </w:t>
      </w:r>
      <w:r w:rsidR="00425B97" w:rsidRPr="00425B97">
        <w:rPr>
          <w:iCs/>
        </w:rPr>
        <w:t>and children accessing their services who have experienced recent an</w:t>
      </w:r>
      <w:r>
        <w:rPr>
          <w:iCs/>
        </w:rPr>
        <w:t>d</w:t>
      </w:r>
      <w:r w:rsidR="00F845E3">
        <w:rPr>
          <w:iCs/>
        </w:rPr>
        <w:t>/</w:t>
      </w:r>
      <w:r>
        <w:rPr>
          <w:iCs/>
        </w:rPr>
        <w:t xml:space="preserve"> or historical sexual violence.</w:t>
      </w:r>
    </w:p>
    <w:p w14:paraId="5BDE474D" w14:textId="77777777" w:rsidR="00425B97" w:rsidRPr="00425B97" w:rsidRDefault="004E1522" w:rsidP="00F57CF1">
      <w:pPr>
        <w:numPr>
          <w:ilvl w:val="0"/>
          <w:numId w:val="16"/>
        </w:numPr>
        <w:jc w:val="both"/>
        <w:rPr>
          <w:iCs/>
        </w:rPr>
      </w:pPr>
      <w:r>
        <w:rPr>
          <w:iCs/>
        </w:rPr>
        <w:t>G</w:t>
      </w:r>
      <w:r w:rsidR="00425B97" w:rsidRPr="00425B97">
        <w:rPr>
          <w:iCs/>
        </w:rPr>
        <w:t>reater investment and coordination of sexual violence prevention and response activities is required across Commonwealth and N</w:t>
      </w:r>
      <w:r w:rsidR="009722A0">
        <w:rPr>
          <w:iCs/>
        </w:rPr>
        <w:t>orthern Territory</w:t>
      </w:r>
      <w:r w:rsidR="00425B97" w:rsidRPr="00425B97">
        <w:rPr>
          <w:iCs/>
        </w:rPr>
        <w:t xml:space="preserve"> Government, </w:t>
      </w:r>
      <w:r w:rsidR="00425B97" w:rsidRPr="00425B97">
        <w:rPr>
          <w:iCs/>
        </w:rPr>
        <w:br/>
        <w:t>Aboriginal Community Controlled O</w:t>
      </w:r>
      <w:r>
        <w:rPr>
          <w:iCs/>
        </w:rPr>
        <w:t>rganisations and the NGO sector.</w:t>
      </w:r>
    </w:p>
    <w:p w14:paraId="7962474F" w14:textId="77777777" w:rsidR="00425B97" w:rsidRPr="00425B97" w:rsidRDefault="004E1522" w:rsidP="00F57CF1">
      <w:pPr>
        <w:numPr>
          <w:ilvl w:val="0"/>
          <w:numId w:val="16"/>
        </w:numPr>
        <w:jc w:val="both"/>
        <w:rPr>
          <w:iCs/>
        </w:rPr>
      </w:pPr>
      <w:r>
        <w:rPr>
          <w:iCs/>
        </w:rPr>
        <w:t>T</w:t>
      </w:r>
      <w:r w:rsidR="00425B97" w:rsidRPr="00425B97">
        <w:rPr>
          <w:iCs/>
        </w:rPr>
        <w:t>he SVPRF should take a public health approach that addresses the complex intersection of sexual violence prevention and response factors; engages the broadest range of stakeholders; clearly articulates definitions related to sexual violence and the unique geographic and demographic elements of the N</w:t>
      </w:r>
      <w:r w:rsidR="009722A0">
        <w:rPr>
          <w:iCs/>
        </w:rPr>
        <w:t>orthern Territory</w:t>
      </w:r>
      <w:r>
        <w:rPr>
          <w:iCs/>
        </w:rPr>
        <w:t>.</w:t>
      </w:r>
    </w:p>
    <w:p w14:paraId="4A56A8F2" w14:textId="77777777" w:rsidR="00425B97" w:rsidRPr="00425B97" w:rsidRDefault="004E1522" w:rsidP="00F57CF1">
      <w:pPr>
        <w:numPr>
          <w:ilvl w:val="0"/>
          <w:numId w:val="16"/>
        </w:numPr>
        <w:jc w:val="both"/>
        <w:rPr>
          <w:iCs/>
        </w:rPr>
      </w:pPr>
      <w:r>
        <w:rPr>
          <w:iCs/>
        </w:rPr>
        <w:t>T</w:t>
      </w:r>
      <w:r w:rsidR="00425B97" w:rsidRPr="00425B97">
        <w:rPr>
          <w:iCs/>
        </w:rPr>
        <w:t>he SVPRF should include a clear governance structure with indicators and measures for change, levels at which responsibility and action lies and the t</w:t>
      </w:r>
      <w:r>
        <w:rPr>
          <w:iCs/>
        </w:rPr>
        <w:t>ype of action to be implemented.</w:t>
      </w:r>
    </w:p>
    <w:p w14:paraId="799C2081" w14:textId="77777777" w:rsidR="00425B97" w:rsidRPr="00425B97" w:rsidRDefault="004E1522" w:rsidP="00F57CF1">
      <w:pPr>
        <w:numPr>
          <w:ilvl w:val="0"/>
          <w:numId w:val="16"/>
        </w:numPr>
        <w:jc w:val="both"/>
        <w:rPr>
          <w:iCs/>
        </w:rPr>
      </w:pPr>
      <w:r>
        <w:rPr>
          <w:iCs/>
        </w:rPr>
        <w:t>S</w:t>
      </w:r>
      <w:r w:rsidR="00425B97" w:rsidRPr="00425B97">
        <w:rPr>
          <w:iCs/>
        </w:rPr>
        <w:t>exual violence in the workplace (including sexual harassment) must be systematically addressed especially in large workplaces such as the N</w:t>
      </w:r>
      <w:r w:rsidR="009722A0">
        <w:rPr>
          <w:iCs/>
        </w:rPr>
        <w:t>orthern Territory</w:t>
      </w:r>
      <w:r>
        <w:rPr>
          <w:iCs/>
        </w:rPr>
        <w:t xml:space="preserve"> Public Service.</w:t>
      </w:r>
    </w:p>
    <w:p w14:paraId="7597F7D6" w14:textId="77777777" w:rsidR="001C12EA" w:rsidRPr="004E1522" w:rsidRDefault="004E1522" w:rsidP="004E1522">
      <w:pPr>
        <w:numPr>
          <w:ilvl w:val="0"/>
          <w:numId w:val="16"/>
        </w:numPr>
        <w:jc w:val="both"/>
        <w:rPr>
          <w:iCs/>
        </w:rPr>
        <w:sectPr w:rsidR="001C12EA" w:rsidRPr="004E1522" w:rsidSect="00705C9D">
          <w:footerReference w:type="default" r:id="rId11"/>
          <w:footerReference w:type="first" r:id="rId12"/>
          <w:pgSz w:w="11906" w:h="16838" w:code="9"/>
          <w:pgMar w:top="1134" w:right="1134" w:bottom="1134" w:left="1134" w:header="709" w:footer="0" w:gutter="0"/>
          <w:cols w:space="708"/>
          <w:titlePg/>
          <w:docGrid w:linePitch="360"/>
        </w:sectPr>
      </w:pPr>
      <w:r>
        <w:rPr>
          <w:iCs/>
        </w:rPr>
        <w:t>T</w:t>
      </w:r>
      <w:r w:rsidR="00425B97" w:rsidRPr="00425B97">
        <w:rPr>
          <w:iCs/>
        </w:rPr>
        <w:t xml:space="preserve">he Gender Equality Framework is welcomed and </w:t>
      </w:r>
      <w:r w:rsidR="00376604">
        <w:rPr>
          <w:iCs/>
        </w:rPr>
        <w:t>will</w:t>
      </w:r>
      <w:r w:rsidR="00425B97" w:rsidRPr="00425B97">
        <w:rPr>
          <w:iCs/>
        </w:rPr>
        <w:t xml:space="preserve"> complement prevention actions under the SVPRF.</w:t>
      </w:r>
      <w:bookmarkStart w:id="2" w:name="_Toc18328497"/>
    </w:p>
    <w:p w14:paraId="620BBA10" w14:textId="77777777" w:rsidR="001C12EA" w:rsidRPr="001C12EA" w:rsidRDefault="001C12EA" w:rsidP="001C12EA">
      <w:pPr>
        <w:keepNext/>
        <w:keepLines/>
        <w:spacing w:before="240"/>
        <w:outlineLvl w:val="0"/>
        <w:rPr>
          <w:rFonts w:eastAsia="Times New Roman" w:cs="Arial"/>
          <w:b/>
          <w:bCs/>
          <w:kern w:val="32"/>
          <w:szCs w:val="32"/>
          <w:lang w:eastAsia="en-AU"/>
        </w:rPr>
      </w:pPr>
      <w:r w:rsidRPr="001C12EA">
        <w:rPr>
          <w:rFonts w:eastAsia="Times New Roman" w:cs="Arial"/>
          <w:b/>
          <w:bCs/>
          <w:kern w:val="32"/>
          <w:szCs w:val="32"/>
          <w:lang w:eastAsia="en-AU"/>
        </w:rPr>
        <w:lastRenderedPageBreak/>
        <w:t>GROUPS CONSULTED AND DISCUSSION PAPER SUBMISSIONS RECEIVED</w:t>
      </w:r>
      <w:bookmarkEnd w:id="2"/>
    </w:p>
    <w:tbl>
      <w:tblPr>
        <w:tblStyle w:val="GridTable4-Accent6"/>
        <w:tblW w:w="0" w:type="auto"/>
        <w:tblLook w:val="04A0" w:firstRow="1" w:lastRow="0" w:firstColumn="1" w:lastColumn="0" w:noHBand="0" w:noVBand="1"/>
      </w:tblPr>
      <w:tblGrid>
        <w:gridCol w:w="2263"/>
        <w:gridCol w:w="3686"/>
        <w:gridCol w:w="2835"/>
        <w:gridCol w:w="2693"/>
        <w:gridCol w:w="3083"/>
      </w:tblGrid>
      <w:tr w:rsidR="001C12EA" w:rsidRPr="001C12EA" w14:paraId="4DD02802" w14:textId="77777777" w:rsidTr="004C3E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6EDD23F" w14:textId="77777777" w:rsidR="001C12EA" w:rsidRPr="001C12EA" w:rsidRDefault="001C12EA" w:rsidP="00136F65">
            <w:pPr>
              <w:spacing w:before="120" w:after="80"/>
              <w:jc w:val="center"/>
              <w:rPr>
                <w:rFonts w:cs="Arial"/>
                <w:b w:val="0"/>
                <w:sz w:val="18"/>
                <w:szCs w:val="20"/>
                <w:lang w:eastAsia="en-AU"/>
              </w:rPr>
            </w:pPr>
            <w:r w:rsidRPr="001C12EA">
              <w:rPr>
                <w:rFonts w:cs="Arial"/>
                <w:sz w:val="18"/>
                <w:szCs w:val="20"/>
                <w:lang w:eastAsia="en-AU"/>
              </w:rPr>
              <w:t>Specialist sexual violence services</w:t>
            </w:r>
          </w:p>
        </w:tc>
        <w:tc>
          <w:tcPr>
            <w:tcW w:w="3686" w:type="dxa"/>
          </w:tcPr>
          <w:p w14:paraId="1CA7C44F" w14:textId="77777777" w:rsidR="001C12EA" w:rsidRPr="001C12EA" w:rsidRDefault="001C12EA" w:rsidP="00136F65">
            <w:pPr>
              <w:spacing w:before="120" w:after="80"/>
              <w:jc w:val="center"/>
              <w:cnfStyle w:val="100000000000" w:firstRow="1" w:lastRow="0" w:firstColumn="0" w:lastColumn="0" w:oddVBand="0" w:evenVBand="0" w:oddHBand="0" w:evenHBand="0" w:firstRowFirstColumn="0" w:firstRowLastColumn="0" w:lastRowFirstColumn="0" w:lastRowLastColumn="0"/>
              <w:rPr>
                <w:rFonts w:cs="Arial"/>
                <w:b w:val="0"/>
                <w:sz w:val="18"/>
                <w:szCs w:val="20"/>
                <w:lang w:eastAsia="en-AU"/>
              </w:rPr>
            </w:pPr>
            <w:r w:rsidRPr="001C12EA">
              <w:rPr>
                <w:rFonts w:cs="Arial"/>
                <w:sz w:val="18"/>
                <w:szCs w:val="20"/>
                <w:lang w:eastAsia="en-AU"/>
              </w:rPr>
              <w:t>Aboriginal people, organisations, groups</w:t>
            </w:r>
          </w:p>
        </w:tc>
        <w:tc>
          <w:tcPr>
            <w:tcW w:w="2835" w:type="dxa"/>
          </w:tcPr>
          <w:p w14:paraId="6B22C345" w14:textId="77777777" w:rsidR="001C12EA" w:rsidRPr="001C12EA" w:rsidRDefault="001C12EA" w:rsidP="00136F65">
            <w:pPr>
              <w:spacing w:before="120" w:after="80"/>
              <w:jc w:val="center"/>
              <w:cnfStyle w:val="100000000000" w:firstRow="1" w:lastRow="0" w:firstColumn="0" w:lastColumn="0" w:oddVBand="0" w:evenVBand="0" w:oddHBand="0" w:evenHBand="0" w:firstRowFirstColumn="0" w:firstRowLastColumn="0" w:lastRowFirstColumn="0" w:lastRowLastColumn="0"/>
              <w:rPr>
                <w:rFonts w:cs="Arial"/>
                <w:b w:val="0"/>
                <w:sz w:val="18"/>
                <w:szCs w:val="20"/>
                <w:lang w:eastAsia="en-AU"/>
              </w:rPr>
            </w:pPr>
            <w:r w:rsidRPr="001C12EA">
              <w:rPr>
                <w:rFonts w:cs="Arial"/>
                <w:sz w:val="18"/>
                <w:szCs w:val="20"/>
                <w:lang w:eastAsia="en-AU"/>
              </w:rPr>
              <w:t>Non-Government Organisations, peak bodies and networks</w:t>
            </w:r>
          </w:p>
        </w:tc>
        <w:tc>
          <w:tcPr>
            <w:tcW w:w="2693" w:type="dxa"/>
          </w:tcPr>
          <w:p w14:paraId="2FAA0D3A" w14:textId="77777777" w:rsidR="001C12EA" w:rsidRPr="001C12EA" w:rsidRDefault="001C12EA" w:rsidP="00136F65">
            <w:pPr>
              <w:spacing w:before="120" w:after="80"/>
              <w:jc w:val="center"/>
              <w:cnfStyle w:val="100000000000" w:firstRow="1" w:lastRow="0" w:firstColumn="0" w:lastColumn="0" w:oddVBand="0" w:evenVBand="0" w:oddHBand="0" w:evenHBand="0" w:firstRowFirstColumn="0" w:firstRowLastColumn="0" w:lastRowFirstColumn="0" w:lastRowLastColumn="0"/>
              <w:rPr>
                <w:rFonts w:cs="Arial"/>
                <w:b w:val="0"/>
                <w:sz w:val="18"/>
                <w:szCs w:val="20"/>
                <w:lang w:eastAsia="en-AU"/>
              </w:rPr>
            </w:pPr>
            <w:r w:rsidRPr="001C12EA">
              <w:rPr>
                <w:rFonts w:cs="Arial"/>
                <w:sz w:val="18"/>
                <w:szCs w:val="20"/>
                <w:lang w:eastAsia="en-AU"/>
              </w:rPr>
              <w:t>Government agencies</w:t>
            </w:r>
          </w:p>
        </w:tc>
        <w:tc>
          <w:tcPr>
            <w:tcW w:w="3083" w:type="dxa"/>
          </w:tcPr>
          <w:p w14:paraId="29CA37EC" w14:textId="77777777" w:rsidR="001C12EA" w:rsidRPr="001C12EA" w:rsidRDefault="001C12EA" w:rsidP="00136F65">
            <w:pPr>
              <w:spacing w:before="120" w:after="80"/>
              <w:jc w:val="center"/>
              <w:cnfStyle w:val="100000000000" w:firstRow="1" w:lastRow="0" w:firstColumn="0" w:lastColumn="0" w:oddVBand="0" w:evenVBand="0" w:oddHBand="0" w:evenHBand="0" w:firstRowFirstColumn="0" w:firstRowLastColumn="0" w:lastRowFirstColumn="0" w:lastRowLastColumn="0"/>
              <w:rPr>
                <w:rFonts w:cs="Arial"/>
                <w:b w:val="0"/>
                <w:sz w:val="18"/>
                <w:szCs w:val="20"/>
                <w:lang w:eastAsia="en-AU"/>
              </w:rPr>
            </w:pPr>
            <w:r w:rsidRPr="001C12EA">
              <w:rPr>
                <w:rFonts w:cs="Arial"/>
                <w:sz w:val="18"/>
                <w:szCs w:val="20"/>
                <w:lang w:eastAsia="en-AU"/>
              </w:rPr>
              <w:t xml:space="preserve">Discussion paper submissions received </w:t>
            </w:r>
          </w:p>
        </w:tc>
      </w:tr>
      <w:tr w:rsidR="001C12EA" w:rsidRPr="001C12EA" w14:paraId="2F707E52" w14:textId="77777777" w:rsidTr="004C3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59BB54F" w14:textId="77777777" w:rsidR="001C12EA" w:rsidRPr="004C3E3A" w:rsidRDefault="001C12EA" w:rsidP="00136F65">
            <w:pPr>
              <w:numPr>
                <w:ilvl w:val="0"/>
                <w:numId w:val="24"/>
              </w:numPr>
              <w:spacing w:before="120" w:after="80"/>
              <w:rPr>
                <w:rFonts w:eastAsia="Times New Roman" w:cs="Arial"/>
                <w:b w:val="0"/>
                <w:iCs/>
                <w:sz w:val="16"/>
                <w:szCs w:val="16"/>
                <w:lang w:eastAsia="en-AU"/>
              </w:rPr>
            </w:pPr>
            <w:r w:rsidRPr="004C3E3A">
              <w:rPr>
                <w:rFonts w:eastAsia="Times New Roman" w:cs="Arial"/>
                <w:b w:val="0"/>
                <w:iCs/>
                <w:sz w:val="16"/>
                <w:szCs w:val="16"/>
                <w:lang w:eastAsia="en-AU"/>
              </w:rPr>
              <w:t>Sexual Assault Referral Centre (Alice Springs, Tennant Creek, Katherine, Darwin)</w:t>
            </w:r>
          </w:p>
          <w:p w14:paraId="018776B6" w14:textId="77777777" w:rsidR="001C12EA" w:rsidRPr="004C3E3A" w:rsidRDefault="001C12EA" w:rsidP="00136F65">
            <w:pPr>
              <w:numPr>
                <w:ilvl w:val="0"/>
                <w:numId w:val="24"/>
              </w:numPr>
              <w:spacing w:before="120" w:after="80"/>
              <w:rPr>
                <w:rFonts w:eastAsia="Times New Roman" w:cs="Arial"/>
                <w:b w:val="0"/>
                <w:iCs/>
                <w:sz w:val="16"/>
                <w:szCs w:val="16"/>
                <w:lang w:eastAsia="en-AU"/>
              </w:rPr>
            </w:pPr>
            <w:r w:rsidRPr="004C3E3A">
              <w:rPr>
                <w:rFonts w:eastAsia="Times New Roman" w:cs="Arial"/>
                <w:b w:val="0"/>
                <w:iCs/>
                <w:sz w:val="16"/>
                <w:szCs w:val="16"/>
                <w:lang w:eastAsia="en-AU"/>
              </w:rPr>
              <w:t>NT Police Child Abuse Taskforce and Domestic and Family Violence and Sex Crimes Unit (Alice Springs, Tennant Creek, Katherine, Darwin, Nhulunbuy)</w:t>
            </w:r>
          </w:p>
          <w:p w14:paraId="44E1E3E2" w14:textId="77777777" w:rsidR="001C12EA" w:rsidRPr="004C3E3A" w:rsidRDefault="001C12EA" w:rsidP="00136F65">
            <w:pPr>
              <w:numPr>
                <w:ilvl w:val="0"/>
                <w:numId w:val="24"/>
              </w:numPr>
              <w:spacing w:before="120" w:after="80"/>
              <w:rPr>
                <w:rFonts w:eastAsia="Times New Roman" w:cs="Arial"/>
                <w:b w:val="0"/>
                <w:iCs/>
                <w:sz w:val="16"/>
                <w:szCs w:val="16"/>
                <w:lang w:eastAsia="en-AU"/>
              </w:rPr>
            </w:pPr>
            <w:r w:rsidRPr="004C3E3A">
              <w:rPr>
                <w:rFonts w:eastAsia="Times New Roman" w:cs="Arial"/>
                <w:b w:val="0"/>
                <w:iCs/>
                <w:sz w:val="16"/>
                <w:szCs w:val="16"/>
                <w:lang w:eastAsia="en-AU"/>
              </w:rPr>
              <w:t>Ruby Gaea Darwin Centre Against Sexual Violence</w:t>
            </w:r>
          </w:p>
          <w:p w14:paraId="28F01EAF" w14:textId="77777777" w:rsidR="001C12EA" w:rsidRPr="004C3E3A" w:rsidRDefault="001C12EA" w:rsidP="00136F65">
            <w:pPr>
              <w:numPr>
                <w:ilvl w:val="0"/>
                <w:numId w:val="24"/>
              </w:numPr>
              <w:spacing w:before="120" w:after="80"/>
              <w:rPr>
                <w:rFonts w:eastAsia="Times New Roman" w:cs="Arial"/>
                <w:b w:val="0"/>
                <w:iCs/>
                <w:sz w:val="16"/>
                <w:szCs w:val="16"/>
                <w:lang w:eastAsia="en-AU"/>
              </w:rPr>
            </w:pPr>
            <w:r w:rsidRPr="004C3E3A">
              <w:rPr>
                <w:rFonts w:eastAsia="Times New Roman" w:cs="Arial"/>
                <w:b w:val="0"/>
                <w:iCs/>
                <w:sz w:val="16"/>
                <w:szCs w:val="16"/>
                <w:lang w:eastAsia="en-AU"/>
              </w:rPr>
              <w:t>Sex Worker Outreach Project and Sex Worker Reference Group</w:t>
            </w:r>
          </w:p>
          <w:p w14:paraId="1ED5ECC1" w14:textId="77777777" w:rsidR="001C12EA" w:rsidRPr="004C3E3A" w:rsidRDefault="001C12EA" w:rsidP="00136F65">
            <w:pPr>
              <w:numPr>
                <w:ilvl w:val="0"/>
                <w:numId w:val="24"/>
              </w:numPr>
              <w:spacing w:before="120" w:after="80"/>
              <w:rPr>
                <w:rFonts w:eastAsia="Times New Roman" w:cs="Arial"/>
                <w:b w:val="0"/>
                <w:iCs/>
                <w:sz w:val="16"/>
                <w:szCs w:val="16"/>
                <w:lang w:eastAsia="en-AU"/>
              </w:rPr>
            </w:pPr>
            <w:r w:rsidRPr="004C3E3A">
              <w:rPr>
                <w:rFonts w:eastAsia="Times New Roman" w:cs="Arial"/>
                <w:b w:val="0"/>
                <w:iCs/>
                <w:sz w:val="16"/>
                <w:szCs w:val="16"/>
                <w:lang w:eastAsia="en-AU"/>
              </w:rPr>
              <w:t>NT Working Women’s Centre</w:t>
            </w:r>
          </w:p>
          <w:p w14:paraId="0FE85F0A" w14:textId="77777777" w:rsidR="001C12EA" w:rsidRPr="001C12EA" w:rsidRDefault="001C12EA" w:rsidP="00136F65">
            <w:pPr>
              <w:numPr>
                <w:ilvl w:val="0"/>
                <w:numId w:val="24"/>
              </w:numPr>
              <w:spacing w:before="120" w:after="80"/>
              <w:rPr>
                <w:rFonts w:eastAsia="Times New Roman" w:cs="Arial"/>
                <w:iCs/>
                <w:sz w:val="16"/>
                <w:szCs w:val="16"/>
                <w:lang w:eastAsia="en-AU"/>
              </w:rPr>
            </w:pPr>
            <w:r w:rsidRPr="004C3E3A">
              <w:rPr>
                <w:rFonts w:eastAsia="Times New Roman" w:cs="Arial"/>
                <w:b w:val="0"/>
                <w:iCs/>
                <w:sz w:val="16"/>
                <w:szCs w:val="16"/>
                <w:lang w:eastAsia="en-AU"/>
              </w:rPr>
              <w:t>Private psychology practitioners in Alice Springs and Darwin</w:t>
            </w:r>
          </w:p>
        </w:tc>
        <w:tc>
          <w:tcPr>
            <w:tcW w:w="3686" w:type="dxa"/>
          </w:tcPr>
          <w:p w14:paraId="6092BB94"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 xml:space="preserve">Aboriginal staff within government (Territory Families, </w:t>
            </w:r>
            <w:r w:rsidR="004C3E3A">
              <w:rPr>
                <w:rFonts w:eastAsia="Times New Roman" w:cs="Arial"/>
                <w:iCs/>
                <w:sz w:val="16"/>
                <w:szCs w:val="16"/>
                <w:lang w:eastAsia="en-AU"/>
              </w:rPr>
              <w:t xml:space="preserve">Departments of </w:t>
            </w:r>
            <w:r w:rsidRPr="001C12EA">
              <w:rPr>
                <w:rFonts w:eastAsia="Times New Roman" w:cs="Arial"/>
                <w:iCs/>
                <w:sz w:val="16"/>
                <w:szCs w:val="16"/>
                <w:lang w:eastAsia="en-AU"/>
              </w:rPr>
              <w:t>Attorney General and Justice, Education)</w:t>
            </w:r>
          </w:p>
          <w:p w14:paraId="7832F866"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North Australian Aboriginal Justice Agency</w:t>
            </w:r>
          </w:p>
          <w:p w14:paraId="567066E0"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Darwin Aboriginal and Islander Women’s Shelter</w:t>
            </w:r>
          </w:p>
          <w:p w14:paraId="3127891A"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Darwin Indigenous Men’s Service</w:t>
            </w:r>
          </w:p>
          <w:p w14:paraId="54C3693C"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Central Australian Aboriginal Family Legal Unit</w:t>
            </w:r>
          </w:p>
          <w:p w14:paraId="67A904E0"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 xml:space="preserve">Aboriginal Medical Services Alliance Northern Territory </w:t>
            </w:r>
          </w:p>
          <w:p w14:paraId="5A2CFCA9"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 xml:space="preserve">Ngaanyatjarra Pitjantatjara Yankunytjatjara Women’s Council </w:t>
            </w:r>
          </w:p>
          <w:p w14:paraId="0AE5BFD5"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Tangentyere Women’s Family Safety Group</w:t>
            </w:r>
          </w:p>
          <w:p w14:paraId="2AFCF917"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Central Australian Aboriginal Congress</w:t>
            </w:r>
          </w:p>
          <w:p w14:paraId="45ECAF5D"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Danila Dilba Health Service</w:t>
            </w:r>
          </w:p>
          <w:p w14:paraId="24104B9E"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Anyinginyi Health Aboriginal Corporation</w:t>
            </w:r>
          </w:p>
          <w:p w14:paraId="2031B528"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Kalano Community Association</w:t>
            </w:r>
          </w:p>
          <w:p w14:paraId="2DFF8152"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Wurli-Wurlinjang Aboriginal Health Service</w:t>
            </w:r>
          </w:p>
          <w:p w14:paraId="3E10ECB3"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Katherine West Health Board</w:t>
            </w:r>
          </w:p>
          <w:p w14:paraId="2A555490"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Aboriginal Re</w:t>
            </w:r>
            <w:r w:rsidR="004C3E3A">
              <w:rPr>
                <w:rFonts w:eastAsia="Times New Roman" w:cs="Arial"/>
                <w:iCs/>
                <w:sz w:val="16"/>
                <w:szCs w:val="16"/>
                <w:lang w:eastAsia="en-AU"/>
              </w:rPr>
              <w:t>source and Development Services</w:t>
            </w:r>
          </w:p>
          <w:p w14:paraId="2699E15F"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Balunu Foundation</w:t>
            </w:r>
          </w:p>
          <w:p w14:paraId="7867B0CE"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Miwatj Health Aboriginal Corporation</w:t>
            </w:r>
          </w:p>
        </w:tc>
        <w:tc>
          <w:tcPr>
            <w:tcW w:w="2835" w:type="dxa"/>
          </w:tcPr>
          <w:p w14:paraId="3CF6D0FD"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 xml:space="preserve">Domestic, Family and Sexual Violence networks and Local reference Groups in Darwin, Allice Springs, Tennant Creek and Katherine </w:t>
            </w:r>
          </w:p>
          <w:p w14:paraId="63BC4104"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NT Council of Social Service (Darwin and Alice Springs)</w:t>
            </w:r>
          </w:p>
          <w:p w14:paraId="48171EC1"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 xml:space="preserve">Catholic Care / NO MORE </w:t>
            </w:r>
          </w:p>
          <w:p w14:paraId="3A03A5F5"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Women’s Safety Services of Central Australia</w:t>
            </w:r>
          </w:p>
          <w:p w14:paraId="39028BA9"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Dawn House Women’s Shelter</w:t>
            </w:r>
          </w:p>
          <w:p w14:paraId="31B49C33"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Katherine Women’s Crisis Centre</w:t>
            </w:r>
          </w:p>
          <w:p w14:paraId="78D92724"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Tennant Creek Women’s Refuge</w:t>
            </w:r>
          </w:p>
          <w:p w14:paraId="3DBF8F62"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Crisis Accommodation Gove</w:t>
            </w:r>
          </w:p>
          <w:p w14:paraId="78EC6D74"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Katherine Women’s Information and Legal Service</w:t>
            </w:r>
          </w:p>
          <w:p w14:paraId="212FE697"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Top End Women’s Legal Service</w:t>
            </w:r>
          </w:p>
          <w:p w14:paraId="45ADF49D"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Anglicare (Nhulunbuy)</w:t>
            </w:r>
          </w:p>
          <w:p w14:paraId="3D8E08FF"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Jesuit Social Services</w:t>
            </w:r>
          </w:p>
          <w:p w14:paraId="0CFBEFF0"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Music NT</w:t>
            </w:r>
          </w:p>
          <w:p w14:paraId="383080BC" w14:textId="77777777" w:rsid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Happy Yess</w:t>
            </w:r>
          </w:p>
          <w:p w14:paraId="37C78F21" w14:textId="77777777" w:rsidR="00B05C53" w:rsidRPr="001C12EA" w:rsidRDefault="00B05C53"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Pr>
                <w:rFonts w:eastAsia="Times New Roman" w:cs="Arial"/>
                <w:iCs/>
                <w:sz w:val="16"/>
                <w:szCs w:val="16"/>
                <w:lang w:eastAsia="en-AU"/>
              </w:rPr>
              <w:t>Primary Health Network (Nhulunbuy)</w:t>
            </w:r>
          </w:p>
        </w:tc>
        <w:tc>
          <w:tcPr>
            <w:tcW w:w="2693" w:type="dxa"/>
          </w:tcPr>
          <w:p w14:paraId="7DCAAEDD"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DFSV Cross Agency Working Group</w:t>
            </w:r>
          </w:p>
          <w:p w14:paraId="63A3583B"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Department of Chief Minister (Alice Springs, Katherine, Tennant Creek, Nhulunbuy)</w:t>
            </w:r>
          </w:p>
          <w:p w14:paraId="0C7CCAB2"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Territory Families (Nhulunbuy, Tennant Creek, Katherine)</w:t>
            </w:r>
          </w:p>
          <w:p w14:paraId="2A78BA6D"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Department of Health (Nhulunbuy, Darwin)</w:t>
            </w:r>
          </w:p>
          <w:p w14:paraId="74949E11"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 xml:space="preserve">Department of Education (Darwin) </w:t>
            </w:r>
          </w:p>
          <w:p w14:paraId="0480F468"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Department of Attorney General and Justice (Darwin)</w:t>
            </w:r>
          </w:p>
          <w:p w14:paraId="622CE191"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Aboriginal Interpreter Service (Darwin, Katherine, Nhulunbuy)</w:t>
            </w:r>
          </w:p>
          <w:p w14:paraId="6ED662D2"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 xml:space="preserve">Department of Corrections (Darwin) </w:t>
            </w:r>
          </w:p>
          <w:p w14:paraId="319A08C0"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Commonwealth Government (Tennant Creek, Nhulunbuy)</w:t>
            </w:r>
          </w:p>
          <w:p w14:paraId="7D4E8E54"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Barkly Shire Council</w:t>
            </w:r>
          </w:p>
        </w:tc>
        <w:tc>
          <w:tcPr>
            <w:tcW w:w="3083" w:type="dxa"/>
          </w:tcPr>
          <w:p w14:paraId="49B731E3"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Australia’s Right to Know coalition of media companies</w:t>
            </w:r>
          </w:p>
          <w:p w14:paraId="1401B798"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 xml:space="preserve">Aboriginal Medical Services Alliance NT </w:t>
            </w:r>
          </w:p>
          <w:p w14:paraId="20ED0BCD"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 xml:space="preserve">Central Australian Aboriginal Congress </w:t>
            </w:r>
          </w:p>
          <w:p w14:paraId="40EA792F"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Central Australian Aboriginal Family Legal Unit</w:t>
            </w:r>
          </w:p>
          <w:p w14:paraId="7E37E560"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Child Wise</w:t>
            </w:r>
          </w:p>
          <w:p w14:paraId="416783E5"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Dawn House Women’s Shelter</w:t>
            </w:r>
          </w:p>
          <w:p w14:paraId="3B3BB0F3"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Danila Dilba Health</w:t>
            </w:r>
          </w:p>
          <w:p w14:paraId="7C001C10"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Darwin Indigenous Men’s Service</w:t>
            </w:r>
          </w:p>
          <w:p w14:paraId="2B417E16"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End Rape On Campus Australia &amp; Marque Lawyers</w:t>
            </w:r>
          </w:p>
          <w:p w14:paraId="0A8ED79B"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Sex Worker Outreach Project</w:t>
            </w:r>
          </w:p>
          <w:p w14:paraId="24F1FEF9"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Sex Worker Reference Group</w:t>
            </w:r>
          </w:p>
          <w:p w14:paraId="72CF49A1"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NAAJA</w:t>
            </w:r>
          </w:p>
          <w:p w14:paraId="1548A804"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NTCOSS</w:t>
            </w:r>
          </w:p>
          <w:p w14:paraId="1F62651E"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NT Legal Aid Commission</w:t>
            </w:r>
          </w:p>
          <w:p w14:paraId="1CCDE433"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NT Working Women’s Centre</w:t>
            </w:r>
          </w:p>
          <w:p w14:paraId="21B84A20"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NT Anti-Discrimination Commission</w:t>
            </w:r>
          </w:p>
          <w:p w14:paraId="3600800C"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NT Department of Health</w:t>
            </w:r>
          </w:p>
          <w:p w14:paraId="4C3D1EB5"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Jesuit Social Services</w:t>
            </w:r>
          </w:p>
          <w:p w14:paraId="5FCFD121"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Melaleuca Refugee Centre</w:t>
            </w:r>
          </w:p>
          <w:p w14:paraId="4296D4DA" w14:textId="77777777" w:rsidR="001C12EA" w:rsidRPr="001C12EA" w:rsidRDefault="001C12EA" w:rsidP="00136F65">
            <w:pPr>
              <w:numPr>
                <w:ilvl w:val="0"/>
                <w:numId w:val="24"/>
              </w:numPr>
              <w:spacing w:before="120" w:after="80"/>
              <w:cnfStyle w:val="000000100000" w:firstRow="0" w:lastRow="0" w:firstColumn="0" w:lastColumn="0" w:oddVBand="0" w:evenVBand="0" w:oddHBand="1" w:evenHBand="0" w:firstRowFirstColumn="0" w:firstRowLastColumn="0" w:lastRowFirstColumn="0" w:lastRowLastColumn="0"/>
              <w:rPr>
                <w:rFonts w:eastAsia="Times New Roman" w:cs="Arial"/>
                <w:iCs/>
                <w:sz w:val="16"/>
                <w:szCs w:val="16"/>
                <w:lang w:eastAsia="en-AU"/>
              </w:rPr>
            </w:pPr>
            <w:r w:rsidRPr="001C12EA">
              <w:rPr>
                <w:rFonts w:eastAsia="Times New Roman" w:cs="Arial"/>
                <w:iCs/>
                <w:sz w:val="16"/>
                <w:szCs w:val="16"/>
                <w:lang w:eastAsia="en-AU"/>
              </w:rPr>
              <w:t>18 Individual responses</w:t>
            </w:r>
          </w:p>
        </w:tc>
      </w:tr>
      <w:bookmarkEnd w:id="0"/>
    </w:tbl>
    <w:p w14:paraId="09AAE270" w14:textId="77777777" w:rsidR="001C12EA" w:rsidRPr="0044086B" w:rsidRDefault="001C12EA" w:rsidP="00136F65">
      <w:pPr>
        <w:jc w:val="both"/>
      </w:pPr>
    </w:p>
    <w:sectPr w:rsidR="001C12EA" w:rsidRPr="0044086B" w:rsidSect="001C12EA">
      <w:pgSz w:w="16838" w:h="11906" w:orient="landscape"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92022" w14:textId="77777777" w:rsidR="007B48DF" w:rsidRDefault="007B48DF" w:rsidP="007332FF">
      <w:r>
        <w:separator/>
      </w:r>
    </w:p>
  </w:endnote>
  <w:endnote w:type="continuationSeparator" w:id="0">
    <w:p w14:paraId="34A55ACA" w14:textId="77777777" w:rsidR="007B48DF" w:rsidRDefault="007B48D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3E1F6" w14:textId="77777777" w:rsidR="00A07490" w:rsidRPr="004C3E3A" w:rsidRDefault="007B48DF" w:rsidP="002926BC">
    <w:pPr>
      <w:tabs>
        <w:tab w:val="right" w:pos="10206"/>
      </w:tabs>
      <w:spacing w:after="120"/>
      <w:ind w:left="-567" w:right="-568"/>
      <w:rPr>
        <w:color w:val="E36C0A" w:themeColor="accent6" w:themeShade="BF"/>
        <w:sz w:val="16"/>
        <w:szCs w:val="16"/>
      </w:rPr>
    </w:pPr>
    <w:r>
      <w:rPr>
        <w:color w:val="E36C0A" w:themeColor="accent6" w:themeShade="BF"/>
        <w:sz w:val="16"/>
        <w:szCs w:val="16"/>
      </w:rPr>
      <w:pict w14:anchorId="1659BE09">
        <v:rect id="_x0000_i1025" style="width:481.9pt;height:.5pt;mso-position-vertical:absolute" o:hralign="center" o:hrstd="t" o:hrnoshade="t" o:hr="t" fillcolor="black [3213]" stroked="f"/>
      </w:pict>
    </w:r>
  </w:p>
  <w:p w14:paraId="52A06DC3" w14:textId="77777777" w:rsidR="004C3E3A" w:rsidRPr="004C3E3A" w:rsidRDefault="004C3E3A" w:rsidP="004C3E3A">
    <w:pPr>
      <w:tabs>
        <w:tab w:val="center" w:pos="4513"/>
        <w:tab w:val="right" w:pos="9026"/>
      </w:tabs>
      <w:rPr>
        <w:b/>
        <w:color w:val="E36C0A" w:themeColor="accent6" w:themeShade="BF"/>
        <w:sz w:val="20"/>
        <w:szCs w:val="20"/>
      </w:rPr>
    </w:pPr>
    <w:r w:rsidRPr="004C3E3A">
      <w:rPr>
        <w:b/>
        <w:color w:val="E36C0A" w:themeColor="accent6" w:themeShade="BF"/>
        <w:sz w:val="20"/>
        <w:szCs w:val="20"/>
      </w:rPr>
      <w:t>Northern Territory Sexual Violence Prevention and Response Framework</w:t>
    </w:r>
    <w:r w:rsidRPr="001A4BB8">
      <w:rPr>
        <w:b/>
        <w:color w:val="E36C0A" w:themeColor="accent6" w:themeShade="BF"/>
        <w:sz w:val="20"/>
        <w:szCs w:val="20"/>
      </w:rPr>
      <w:t>:</w:t>
    </w:r>
    <w:r w:rsidRPr="004C3E3A">
      <w:rPr>
        <w:b/>
        <w:color w:val="E36C0A" w:themeColor="accent6" w:themeShade="BF"/>
        <w:sz w:val="20"/>
        <w:szCs w:val="20"/>
      </w:rPr>
      <w:t xml:space="preserve"> </w:t>
    </w:r>
    <w:r w:rsidRPr="001A4BB8">
      <w:rPr>
        <w:b/>
        <w:color w:val="E36C0A" w:themeColor="accent6" w:themeShade="BF"/>
        <w:sz w:val="20"/>
        <w:szCs w:val="20"/>
      </w:rPr>
      <w:t>Consultation Summary</w:t>
    </w:r>
  </w:p>
  <w:p w14:paraId="6F9FB20C" w14:textId="1FB4E26C" w:rsidR="00A07490" w:rsidRPr="007B5DA2" w:rsidRDefault="00A07490" w:rsidP="002926BC">
    <w:pPr>
      <w:pStyle w:val="NTGFooter2DateVersion"/>
      <w:tabs>
        <w:tab w:val="clear" w:pos="9639"/>
        <w:tab w:val="right" w:pos="10206"/>
      </w:tabs>
      <w:ind w:left="-567" w:right="-568"/>
      <w:rPr>
        <w:rStyle w:val="NTGFooter2deptpagenumChar"/>
        <w:rFonts w:eastAsia="Calibri"/>
      </w:rPr>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end"/>
    </w:r>
    <w:r w:rsidRPr="004D1B76">
      <w:tab/>
    </w:r>
    <w:r w:rsidR="004C3E3A">
      <w:rPr>
        <w:color w:val="7F7F7F" w:themeColor="background1" w:themeShade="7F"/>
        <w:spacing w:val="60"/>
      </w:rPr>
      <w:t>Page</w:t>
    </w:r>
    <w:r w:rsidR="004C3E3A">
      <w:t xml:space="preserve"> | </w:t>
    </w:r>
    <w:r w:rsidR="004C3E3A">
      <w:fldChar w:fldCharType="begin"/>
    </w:r>
    <w:r w:rsidR="004C3E3A">
      <w:instrText xml:space="preserve"> PAGE   \* MERGEFORMAT </w:instrText>
    </w:r>
    <w:r w:rsidR="004C3E3A">
      <w:fldChar w:fldCharType="separate"/>
    </w:r>
    <w:r w:rsidR="009A3968" w:rsidRPr="009A3968">
      <w:rPr>
        <w:b/>
        <w:bCs/>
        <w:noProof/>
      </w:rPr>
      <w:t>2</w:t>
    </w:r>
    <w:r w:rsidR="004C3E3A">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A07490" w:rsidRPr="00132658" w14:paraId="61CBF415" w14:textId="77777777" w:rsidTr="007D4893">
      <w:trPr>
        <w:cantSplit/>
        <w:trHeight w:hRule="exact" w:val="1400"/>
        <w:tblHeader/>
      </w:trPr>
      <w:tc>
        <w:tcPr>
          <w:tcW w:w="8505" w:type="dxa"/>
          <w:vAlign w:val="center"/>
        </w:tcPr>
        <w:p w14:paraId="7624F745" w14:textId="228D73CB" w:rsidR="00A07490" w:rsidRPr="00705C9D" w:rsidRDefault="00A07490"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DA4F31">
            <w:rPr>
              <w:rStyle w:val="NTGFooterDepartmentNameChar"/>
            </w:rPr>
            <w:t>Territory Families</w:t>
          </w:r>
          <w:r w:rsidRPr="00705C9D">
            <w:rPr>
              <w:rStyle w:val="NTGFooterDepartmentNameChar"/>
            </w:rPr>
            <w:fldChar w:fldCharType="end"/>
          </w:r>
        </w:p>
        <w:p w14:paraId="032F071C" w14:textId="77777777" w:rsidR="00A07490" w:rsidRPr="007B5DA2" w:rsidRDefault="00A07490" w:rsidP="004C3E3A">
          <w:pPr>
            <w:pStyle w:val="NTGFooter1items"/>
          </w:pPr>
        </w:p>
      </w:tc>
      <w:tc>
        <w:tcPr>
          <w:tcW w:w="2268" w:type="dxa"/>
          <w:vAlign w:val="center"/>
        </w:tcPr>
        <w:p w14:paraId="3E306628" w14:textId="77777777" w:rsidR="00A07490" w:rsidRPr="001E14EB" w:rsidRDefault="00A07490" w:rsidP="00543BD1">
          <w:pPr>
            <w:spacing w:after="0"/>
            <w:jc w:val="right"/>
          </w:pPr>
          <w:r w:rsidRPr="00132658">
            <w:rPr>
              <w:noProof/>
              <w:lang w:eastAsia="en-AU"/>
            </w:rPr>
            <w:drawing>
              <wp:inline distT="0" distB="0" distL="0" distR="0" wp14:anchorId="0BDC1931" wp14:editId="15BF2FF0">
                <wp:extent cx="1347470" cy="481330"/>
                <wp:effectExtent l="0" t="0" r="508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685FBB85" w14:textId="77777777" w:rsidR="00A07490" w:rsidRPr="00543BD1" w:rsidRDefault="00A07490"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D6269" w14:textId="77777777" w:rsidR="007B48DF" w:rsidRDefault="007B48DF" w:rsidP="007332FF">
      <w:r>
        <w:separator/>
      </w:r>
    </w:p>
  </w:footnote>
  <w:footnote w:type="continuationSeparator" w:id="0">
    <w:p w14:paraId="091D1C62" w14:textId="77777777" w:rsidR="007B48DF" w:rsidRDefault="007B48DF" w:rsidP="00733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5C03AEC"/>
    <w:multiLevelType w:val="multilevel"/>
    <w:tmpl w:val="BD7A8414"/>
    <w:name w:val="NTG Table Bullet List3322222"/>
    <w:numStyleLink w:val="NTGStandardList"/>
  </w:abstractNum>
  <w:abstractNum w:abstractNumId="2" w15:restartNumberingAfterBreak="0">
    <w:nsid w:val="068B22E4"/>
    <w:multiLevelType w:val="multilevel"/>
    <w:tmpl w:val="4E6AC8F6"/>
    <w:name w:val="NTG Table Bullet List33222222"/>
    <w:numStyleLink w:val="NTGStandardNumList"/>
  </w:abstractNum>
  <w:abstractNum w:abstractNumId="3" w15:restartNumberingAfterBreak="0">
    <w:nsid w:val="06DB268B"/>
    <w:multiLevelType w:val="multilevel"/>
    <w:tmpl w:val="BD7A8414"/>
    <w:name w:val="NTG Table Bullet List32223"/>
    <w:numStyleLink w:val="NTGStandardList"/>
  </w:abstractNum>
  <w:abstractNum w:abstractNumId="4" w15:restartNumberingAfterBreak="0">
    <w:nsid w:val="09CD3ABE"/>
    <w:multiLevelType w:val="multilevel"/>
    <w:tmpl w:val="0C78A7AC"/>
    <w:name w:val="NTG Table Bullet List332222"/>
    <w:numStyleLink w:val="NTGTableList"/>
  </w:abstractNum>
  <w:abstractNum w:abstractNumId="5" w15:restartNumberingAfterBreak="0">
    <w:nsid w:val="10111492"/>
    <w:multiLevelType w:val="multilevel"/>
    <w:tmpl w:val="0C78A7AC"/>
    <w:name w:val="NTG Table Bullet List332"/>
    <w:numStyleLink w:val="NTGTableList"/>
  </w:abstractNum>
  <w:abstractNum w:abstractNumId="6" w15:restartNumberingAfterBreak="0">
    <w:nsid w:val="11C851EB"/>
    <w:multiLevelType w:val="hybridMultilevel"/>
    <w:tmpl w:val="E81AC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C55E97"/>
    <w:multiLevelType w:val="multilevel"/>
    <w:tmpl w:val="BD7A8414"/>
    <w:name w:val="NTG Table Bullet List332222222222222222"/>
    <w:numStyleLink w:val="NTGStandardList"/>
  </w:abstractNum>
  <w:abstractNum w:abstractNumId="8" w15:restartNumberingAfterBreak="0">
    <w:nsid w:val="17025258"/>
    <w:multiLevelType w:val="hybridMultilevel"/>
    <w:tmpl w:val="BF26B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6B0CE3"/>
    <w:multiLevelType w:val="multilevel"/>
    <w:tmpl w:val="39746A98"/>
    <w:name w:val="NTG Table Bullet List332222222222222"/>
    <w:numStyleLink w:val="NTGTableNumList"/>
  </w:abstractNum>
  <w:abstractNum w:abstractNumId="10" w15:restartNumberingAfterBreak="0">
    <w:nsid w:val="18AE0D72"/>
    <w:multiLevelType w:val="multilevel"/>
    <w:tmpl w:val="0C78A7AC"/>
    <w:name w:val="NTG Table Bullet List322"/>
    <w:numStyleLink w:val="NTGTableList"/>
  </w:abstractNum>
  <w:abstractNum w:abstractNumId="11" w15:restartNumberingAfterBreak="0">
    <w:nsid w:val="1BB400DD"/>
    <w:multiLevelType w:val="multilevel"/>
    <w:tmpl w:val="39746A98"/>
    <w:name w:val="NTG Table Bullet List33"/>
    <w:numStyleLink w:val="NTGTableNumList"/>
  </w:abstractNum>
  <w:abstractNum w:abstractNumId="12" w15:restartNumberingAfterBreak="0">
    <w:nsid w:val="1CFF291F"/>
    <w:multiLevelType w:val="multilevel"/>
    <w:tmpl w:val="39746A98"/>
    <w:name w:val="NTG Table Bullet List3222323"/>
    <w:numStyleLink w:val="NTGTableNumList"/>
  </w:abstractNum>
  <w:abstractNum w:abstractNumId="13" w15:restartNumberingAfterBreak="0">
    <w:nsid w:val="241D1D87"/>
    <w:multiLevelType w:val="multilevel"/>
    <w:tmpl w:val="0C78A7AC"/>
    <w:name w:val="NTG Table Bullet List32"/>
    <w:numStyleLink w:val="NTGTableList"/>
  </w:abstractNum>
  <w:abstractNum w:abstractNumId="14"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26345893"/>
    <w:multiLevelType w:val="multilevel"/>
    <w:tmpl w:val="4E6AC8F6"/>
    <w:name w:val="NTG Table Bullet List3322222222"/>
    <w:numStyleLink w:val="NTGStandardNumList"/>
  </w:abstractNum>
  <w:abstractNum w:abstractNumId="16" w15:restartNumberingAfterBreak="0">
    <w:nsid w:val="27D83E4D"/>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2EF077BC"/>
    <w:multiLevelType w:val="multilevel"/>
    <w:tmpl w:val="0C78A7AC"/>
    <w:name w:val="NTG Table Bullet List33222222222222222222"/>
    <w:numStyleLink w:val="NTGTableList"/>
  </w:abstractNum>
  <w:abstractNum w:abstractNumId="18" w15:restartNumberingAfterBreak="0">
    <w:nsid w:val="30EE67DD"/>
    <w:multiLevelType w:val="hybridMultilevel"/>
    <w:tmpl w:val="9F24D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20" w15:restartNumberingAfterBreak="0">
    <w:nsid w:val="36744DFA"/>
    <w:multiLevelType w:val="multilevel"/>
    <w:tmpl w:val="3928FD02"/>
    <w:styleLink w:val="Bulletlist"/>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418B29E3"/>
    <w:multiLevelType w:val="multilevel"/>
    <w:tmpl w:val="0C78A7AC"/>
    <w:name w:val="NTG Table Bullet List33222222222222"/>
    <w:numStyleLink w:val="NTGTableList"/>
  </w:abstractNum>
  <w:abstractNum w:abstractNumId="22" w15:restartNumberingAfterBreak="0">
    <w:nsid w:val="426F70CC"/>
    <w:multiLevelType w:val="multilevel"/>
    <w:tmpl w:val="39746A98"/>
    <w:name w:val="NTG Table Bullet List33222222222222222"/>
    <w:numStyleLink w:val="NTGTableNumList"/>
  </w:abstractNum>
  <w:abstractNum w:abstractNumId="23" w15:restartNumberingAfterBreak="0">
    <w:nsid w:val="46CB298F"/>
    <w:multiLevelType w:val="hybridMultilevel"/>
    <w:tmpl w:val="2C52A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8F005A"/>
    <w:multiLevelType w:val="multilevel"/>
    <w:tmpl w:val="4E6AC8F6"/>
    <w:numStyleLink w:val="NTGStandardNumList"/>
  </w:abstractNum>
  <w:abstractNum w:abstractNumId="25" w15:restartNumberingAfterBreak="0">
    <w:nsid w:val="4B9C702E"/>
    <w:multiLevelType w:val="multilevel"/>
    <w:tmpl w:val="BD7A8414"/>
    <w:name w:val="NTG Table Bullet List3222"/>
    <w:numStyleLink w:val="NTGStandardList"/>
  </w:abstractNum>
  <w:abstractNum w:abstractNumId="26" w15:restartNumberingAfterBreak="0">
    <w:nsid w:val="4D435BB4"/>
    <w:multiLevelType w:val="multilevel"/>
    <w:tmpl w:val="39746A98"/>
    <w:name w:val="NTG Table Bullet List3322"/>
    <w:numStyleLink w:val="NTGTableNumList"/>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9" w15:restartNumberingAfterBreak="0">
    <w:nsid w:val="4E002A10"/>
    <w:multiLevelType w:val="multilevel"/>
    <w:tmpl w:val="39746A98"/>
    <w:name w:val="NTG Table Bullet List332222222"/>
    <w:numStyleLink w:val="NTGTableNumList"/>
  </w:abstractNum>
  <w:abstractNum w:abstractNumId="30" w15:restartNumberingAfterBreak="0">
    <w:nsid w:val="4E597CFE"/>
    <w:multiLevelType w:val="multilevel"/>
    <w:tmpl w:val="39746A98"/>
    <w:name w:val="NTG Table Bullet List33222222222"/>
    <w:numStyleLink w:val="NTGTableNum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73B315C"/>
    <w:multiLevelType w:val="multilevel"/>
    <w:tmpl w:val="39746A98"/>
    <w:name w:val="NTG Table Bullet List3222322"/>
    <w:numStyleLink w:val="NTGTableNumList"/>
  </w:abstractNum>
  <w:abstractNum w:abstractNumId="33" w15:restartNumberingAfterBreak="0">
    <w:nsid w:val="5B713B90"/>
    <w:multiLevelType w:val="multilevel"/>
    <w:tmpl w:val="4E6AC8F6"/>
    <w:numStyleLink w:val="NTGStandardNumList"/>
  </w:abstractNum>
  <w:abstractNum w:abstractNumId="34" w15:restartNumberingAfterBreak="0">
    <w:nsid w:val="5B980D41"/>
    <w:multiLevelType w:val="hybridMultilevel"/>
    <w:tmpl w:val="3D9E2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CE2A25"/>
    <w:multiLevelType w:val="multilevel"/>
    <w:tmpl w:val="0C78A7AC"/>
    <w:name w:val="NTG Table Bullet List332222222222"/>
    <w:numStyleLink w:val="NTGTableList"/>
  </w:abstractNum>
  <w:abstractNum w:abstractNumId="36" w15:restartNumberingAfterBreak="0">
    <w:nsid w:val="5D042DCE"/>
    <w:multiLevelType w:val="multilevel"/>
    <w:tmpl w:val="4E6AC8F6"/>
    <w:numStyleLink w:val="NTGStandardNumList"/>
  </w:abstractNum>
  <w:abstractNum w:abstractNumId="37" w15:restartNumberingAfterBreak="0">
    <w:nsid w:val="5F7021C4"/>
    <w:multiLevelType w:val="hybridMultilevel"/>
    <w:tmpl w:val="3FA2A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6D0AB2"/>
    <w:multiLevelType w:val="multilevel"/>
    <w:tmpl w:val="4E6AC8F6"/>
    <w:numStyleLink w:val="NTGStandardNumList"/>
  </w:abstractNum>
  <w:abstractNum w:abstractNumId="39" w15:restartNumberingAfterBreak="0">
    <w:nsid w:val="61AD07BD"/>
    <w:multiLevelType w:val="multilevel"/>
    <w:tmpl w:val="4E6AC8F6"/>
    <w:numStyleLink w:val="NTGStandardNumList"/>
  </w:abstractNum>
  <w:abstractNum w:abstractNumId="40" w15:restartNumberingAfterBreak="0">
    <w:nsid w:val="65D566F7"/>
    <w:multiLevelType w:val="multilevel"/>
    <w:tmpl w:val="39746A98"/>
    <w:name w:val="NTG Table Bullet List3322222222222222"/>
    <w:numStyleLink w:val="NTGTableNumList"/>
  </w:abstractNum>
  <w:abstractNum w:abstractNumId="41" w15:restartNumberingAfterBreak="0">
    <w:nsid w:val="68107334"/>
    <w:multiLevelType w:val="hybridMultilevel"/>
    <w:tmpl w:val="CD501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66431A"/>
    <w:multiLevelType w:val="hybridMultilevel"/>
    <w:tmpl w:val="DAD4721A"/>
    <w:lvl w:ilvl="0" w:tplc="0C090001">
      <w:start w:val="1"/>
      <w:numFmt w:val="bullet"/>
      <w:lvlText w:val=""/>
      <w:lvlJc w:val="left"/>
      <w:pPr>
        <w:ind w:left="1002" w:hanging="360"/>
      </w:pPr>
      <w:rPr>
        <w:rFonts w:ascii="Symbol" w:hAnsi="Symbol" w:hint="default"/>
      </w:rPr>
    </w:lvl>
    <w:lvl w:ilvl="1" w:tplc="0C090003" w:tentative="1">
      <w:start w:val="1"/>
      <w:numFmt w:val="bullet"/>
      <w:lvlText w:val="o"/>
      <w:lvlJc w:val="left"/>
      <w:pPr>
        <w:ind w:left="1722" w:hanging="360"/>
      </w:pPr>
      <w:rPr>
        <w:rFonts w:ascii="Courier New" w:hAnsi="Courier New" w:cs="Courier New" w:hint="default"/>
      </w:rPr>
    </w:lvl>
    <w:lvl w:ilvl="2" w:tplc="0C090005" w:tentative="1">
      <w:start w:val="1"/>
      <w:numFmt w:val="bullet"/>
      <w:lvlText w:val=""/>
      <w:lvlJc w:val="left"/>
      <w:pPr>
        <w:ind w:left="2442" w:hanging="360"/>
      </w:pPr>
      <w:rPr>
        <w:rFonts w:ascii="Wingdings" w:hAnsi="Wingdings" w:hint="default"/>
      </w:rPr>
    </w:lvl>
    <w:lvl w:ilvl="3" w:tplc="0C090001" w:tentative="1">
      <w:start w:val="1"/>
      <w:numFmt w:val="bullet"/>
      <w:lvlText w:val=""/>
      <w:lvlJc w:val="left"/>
      <w:pPr>
        <w:ind w:left="3162" w:hanging="360"/>
      </w:pPr>
      <w:rPr>
        <w:rFonts w:ascii="Symbol" w:hAnsi="Symbol" w:hint="default"/>
      </w:rPr>
    </w:lvl>
    <w:lvl w:ilvl="4" w:tplc="0C090003" w:tentative="1">
      <w:start w:val="1"/>
      <w:numFmt w:val="bullet"/>
      <w:lvlText w:val="o"/>
      <w:lvlJc w:val="left"/>
      <w:pPr>
        <w:ind w:left="3882" w:hanging="360"/>
      </w:pPr>
      <w:rPr>
        <w:rFonts w:ascii="Courier New" w:hAnsi="Courier New" w:cs="Courier New" w:hint="default"/>
      </w:rPr>
    </w:lvl>
    <w:lvl w:ilvl="5" w:tplc="0C090005" w:tentative="1">
      <w:start w:val="1"/>
      <w:numFmt w:val="bullet"/>
      <w:lvlText w:val=""/>
      <w:lvlJc w:val="left"/>
      <w:pPr>
        <w:ind w:left="4602" w:hanging="360"/>
      </w:pPr>
      <w:rPr>
        <w:rFonts w:ascii="Wingdings" w:hAnsi="Wingdings" w:hint="default"/>
      </w:rPr>
    </w:lvl>
    <w:lvl w:ilvl="6" w:tplc="0C090001" w:tentative="1">
      <w:start w:val="1"/>
      <w:numFmt w:val="bullet"/>
      <w:lvlText w:val=""/>
      <w:lvlJc w:val="left"/>
      <w:pPr>
        <w:ind w:left="5322" w:hanging="360"/>
      </w:pPr>
      <w:rPr>
        <w:rFonts w:ascii="Symbol" w:hAnsi="Symbol" w:hint="default"/>
      </w:rPr>
    </w:lvl>
    <w:lvl w:ilvl="7" w:tplc="0C090003" w:tentative="1">
      <w:start w:val="1"/>
      <w:numFmt w:val="bullet"/>
      <w:lvlText w:val="o"/>
      <w:lvlJc w:val="left"/>
      <w:pPr>
        <w:ind w:left="6042" w:hanging="360"/>
      </w:pPr>
      <w:rPr>
        <w:rFonts w:ascii="Courier New" w:hAnsi="Courier New" w:cs="Courier New" w:hint="default"/>
      </w:rPr>
    </w:lvl>
    <w:lvl w:ilvl="8" w:tplc="0C090005" w:tentative="1">
      <w:start w:val="1"/>
      <w:numFmt w:val="bullet"/>
      <w:lvlText w:val=""/>
      <w:lvlJc w:val="left"/>
      <w:pPr>
        <w:ind w:left="6762" w:hanging="360"/>
      </w:pPr>
      <w:rPr>
        <w:rFonts w:ascii="Wingdings" w:hAnsi="Wingdings" w:hint="default"/>
      </w:rPr>
    </w:lvl>
  </w:abstractNum>
  <w:abstractNum w:abstractNumId="43" w15:restartNumberingAfterBreak="0">
    <w:nsid w:val="6CC62A3C"/>
    <w:multiLevelType w:val="multilevel"/>
    <w:tmpl w:val="39746A98"/>
    <w:name w:val="NTG Table Bullet List33222"/>
    <w:numStyleLink w:val="NTGTableNumList"/>
  </w:abstractNum>
  <w:abstractNum w:abstractNumId="44" w15:restartNumberingAfterBreak="0">
    <w:nsid w:val="70105C45"/>
    <w:multiLevelType w:val="multilevel"/>
    <w:tmpl w:val="39746A98"/>
    <w:name w:val="NTG Table Bullet List3322222222222"/>
    <w:numStyleLink w:val="NTGTableNumList"/>
  </w:abstractNum>
  <w:abstractNum w:abstractNumId="45" w15:restartNumberingAfterBreak="0">
    <w:nsid w:val="704B4A95"/>
    <w:multiLevelType w:val="hybridMultilevel"/>
    <w:tmpl w:val="F320BAF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453664D"/>
    <w:multiLevelType w:val="multilevel"/>
    <w:tmpl w:val="0C78A7AC"/>
    <w:name w:val="NTG Table Bullet List3322222222222222222"/>
    <w:numStyleLink w:val="NTGTableList"/>
  </w:abstractNum>
  <w:abstractNum w:abstractNumId="47"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4"/>
  </w:num>
  <w:num w:numId="2">
    <w:abstractNumId w:val="28"/>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8"/>
  </w:num>
  <w:num w:numId="8">
    <w:abstractNumId w:val="47"/>
  </w:num>
  <w:num w:numId="9">
    <w:abstractNumId w:val="0"/>
  </w:num>
  <w:num w:numId="10">
    <w:abstractNumId w:val="19"/>
  </w:num>
  <w:num w:numId="11">
    <w:abstractNumId w:val="15"/>
  </w:num>
  <w:num w:numId="12">
    <w:abstractNumId w:val="22"/>
  </w:num>
  <w:num w:numId="13">
    <w:abstractNumId w:val="7"/>
  </w:num>
  <w:num w:numId="14">
    <w:abstractNumId w:val="17"/>
  </w:num>
  <w:num w:numId="15">
    <w:abstractNumId w:val="18"/>
  </w:num>
  <w:num w:numId="16">
    <w:abstractNumId w:val="45"/>
  </w:num>
  <w:num w:numId="17">
    <w:abstractNumId w:val="6"/>
  </w:num>
  <w:num w:numId="18">
    <w:abstractNumId w:val="23"/>
  </w:num>
  <w:num w:numId="19">
    <w:abstractNumId w:val="42"/>
  </w:num>
  <w:num w:numId="20">
    <w:abstractNumId w:val="37"/>
  </w:num>
  <w:num w:numId="21">
    <w:abstractNumId w:val="34"/>
  </w:num>
  <w:num w:numId="22">
    <w:abstractNumId w:val="20"/>
  </w:num>
  <w:num w:numId="23">
    <w:abstractNumId w:val="16"/>
  </w:num>
  <w:num w:numId="24">
    <w:abstractNumId w:val="8"/>
  </w:num>
  <w:num w:numId="25">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7D"/>
    <w:rsid w:val="00001DDF"/>
    <w:rsid w:val="0000322D"/>
    <w:rsid w:val="00010665"/>
    <w:rsid w:val="00027DB8"/>
    <w:rsid w:val="00031A96"/>
    <w:rsid w:val="00040BF3"/>
    <w:rsid w:val="00046C59"/>
    <w:rsid w:val="00051362"/>
    <w:rsid w:val="00051F45"/>
    <w:rsid w:val="00056DEF"/>
    <w:rsid w:val="000720BE"/>
    <w:rsid w:val="0007259C"/>
    <w:rsid w:val="00080202"/>
    <w:rsid w:val="00080DCD"/>
    <w:rsid w:val="00080E22"/>
    <w:rsid w:val="000840A3"/>
    <w:rsid w:val="000864D8"/>
    <w:rsid w:val="00086A5F"/>
    <w:rsid w:val="000911EF"/>
    <w:rsid w:val="000931B8"/>
    <w:rsid w:val="0009517D"/>
    <w:rsid w:val="000962C5"/>
    <w:rsid w:val="000A2481"/>
    <w:rsid w:val="000A559C"/>
    <w:rsid w:val="000B2CA1"/>
    <w:rsid w:val="000D1F29"/>
    <w:rsid w:val="000F2958"/>
    <w:rsid w:val="00104E7F"/>
    <w:rsid w:val="001137EC"/>
    <w:rsid w:val="001152F5"/>
    <w:rsid w:val="00117743"/>
    <w:rsid w:val="00117F5B"/>
    <w:rsid w:val="00132658"/>
    <w:rsid w:val="00136F65"/>
    <w:rsid w:val="00150DC0"/>
    <w:rsid w:val="00154DE2"/>
    <w:rsid w:val="00156CD4"/>
    <w:rsid w:val="00164A3E"/>
    <w:rsid w:val="00181620"/>
    <w:rsid w:val="001835B4"/>
    <w:rsid w:val="001957AD"/>
    <w:rsid w:val="001A2B7F"/>
    <w:rsid w:val="001A3AFD"/>
    <w:rsid w:val="001A496C"/>
    <w:rsid w:val="001A4BB8"/>
    <w:rsid w:val="001B2B6C"/>
    <w:rsid w:val="001C12EA"/>
    <w:rsid w:val="001D01C4"/>
    <w:rsid w:val="001D52B0"/>
    <w:rsid w:val="001D7CA4"/>
    <w:rsid w:val="001E057F"/>
    <w:rsid w:val="001E14EB"/>
    <w:rsid w:val="001F59E6"/>
    <w:rsid w:val="00206936"/>
    <w:rsid w:val="00206C6F"/>
    <w:rsid w:val="00206FBD"/>
    <w:rsid w:val="00207746"/>
    <w:rsid w:val="00230031"/>
    <w:rsid w:val="00247343"/>
    <w:rsid w:val="0025517A"/>
    <w:rsid w:val="00265C56"/>
    <w:rsid w:val="002716CD"/>
    <w:rsid w:val="00274D4B"/>
    <w:rsid w:val="002806F5"/>
    <w:rsid w:val="00281577"/>
    <w:rsid w:val="002926BC"/>
    <w:rsid w:val="00293A72"/>
    <w:rsid w:val="002943FF"/>
    <w:rsid w:val="002A30C3"/>
    <w:rsid w:val="002A7712"/>
    <w:rsid w:val="002B1FBF"/>
    <w:rsid w:val="002B38F7"/>
    <w:rsid w:val="002B5591"/>
    <w:rsid w:val="002C1FE9"/>
    <w:rsid w:val="002D3A57"/>
    <w:rsid w:val="002D7D05"/>
    <w:rsid w:val="002E20C8"/>
    <w:rsid w:val="002E4290"/>
    <w:rsid w:val="002E66A6"/>
    <w:rsid w:val="002F0DB1"/>
    <w:rsid w:val="002F2885"/>
    <w:rsid w:val="003037F9"/>
    <w:rsid w:val="0030583E"/>
    <w:rsid w:val="00307FE1"/>
    <w:rsid w:val="003258E6"/>
    <w:rsid w:val="00325A65"/>
    <w:rsid w:val="00342283"/>
    <w:rsid w:val="00343A87"/>
    <w:rsid w:val="00347FB6"/>
    <w:rsid w:val="003504FD"/>
    <w:rsid w:val="00350881"/>
    <w:rsid w:val="00357D55"/>
    <w:rsid w:val="00363513"/>
    <w:rsid w:val="003657E5"/>
    <w:rsid w:val="0036589C"/>
    <w:rsid w:val="00371312"/>
    <w:rsid w:val="00371DC7"/>
    <w:rsid w:val="00376604"/>
    <w:rsid w:val="00377B21"/>
    <w:rsid w:val="00394876"/>
    <w:rsid w:val="00394AAF"/>
    <w:rsid w:val="00394CE5"/>
    <w:rsid w:val="003B67FD"/>
    <w:rsid w:val="003B6A61"/>
    <w:rsid w:val="003D42C0"/>
    <w:rsid w:val="003D5B29"/>
    <w:rsid w:val="003D5FF6"/>
    <w:rsid w:val="003D7818"/>
    <w:rsid w:val="003E2445"/>
    <w:rsid w:val="003E3BB2"/>
    <w:rsid w:val="003F5B58"/>
    <w:rsid w:val="0040222A"/>
    <w:rsid w:val="004047BC"/>
    <w:rsid w:val="004100F7"/>
    <w:rsid w:val="00414CB3"/>
    <w:rsid w:val="0041563D"/>
    <w:rsid w:val="00425B97"/>
    <w:rsid w:val="00426E25"/>
    <w:rsid w:val="00427D9C"/>
    <w:rsid w:val="0043010D"/>
    <w:rsid w:val="004353C3"/>
    <w:rsid w:val="00437372"/>
    <w:rsid w:val="0044086B"/>
    <w:rsid w:val="00443B6E"/>
    <w:rsid w:val="00447923"/>
    <w:rsid w:val="0045420A"/>
    <w:rsid w:val="004554D4"/>
    <w:rsid w:val="00461744"/>
    <w:rsid w:val="00466D96"/>
    <w:rsid w:val="00467747"/>
    <w:rsid w:val="00473C98"/>
    <w:rsid w:val="00482DF8"/>
    <w:rsid w:val="004864DE"/>
    <w:rsid w:val="00494BE5"/>
    <w:rsid w:val="004A2538"/>
    <w:rsid w:val="004B0C15"/>
    <w:rsid w:val="004B35EA"/>
    <w:rsid w:val="004B5BF9"/>
    <w:rsid w:val="004B69E4"/>
    <w:rsid w:val="004C3E3A"/>
    <w:rsid w:val="004C6C39"/>
    <w:rsid w:val="004D075F"/>
    <w:rsid w:val="004D1B76"/>
    <w:rsid w:val="004D344E"/>
    <w:rsid w:val="004E019E"/>
    <w:rsid w:val="004E06EC"/>
    <w:rsid w:val="004E1522"/>
    <w:rsid w:val="004E2CB7"/>
    <w:rsid w:val="004F016A"/>
    <w:rsid w:val="00500F94"/>
    <w:rsid w:val="00502FB3"/>
    <w:rsid w:val="00503DE9"/>
    <w:rsid w:val="0050530C"/>
    <w:rsid w:val="00505DEA"/>
    <w:rsid w:val="00507782"/>
    <w:rsid w:val="00512A04"/>
    <w:rsid w:val="005249F5"/>
    <w:rsid w:val="005260F7"/>
    <w:rsid w:val="00543BD1"/>
    <w:rsid w:val="00556113"/>
    <w:rsid w:val="00564C12"/>
    <w:rsid w:val="005654B8"/>
    <w:rsid w:val="00573323"/>
    <w:rsid w:val="005762CC"/>
    <w:rsid w:val="00582D3D"/>
    <w:rsid w:val="00595386"/>
    <w:rsid w:val="005A4AC0"/>
    <w:rsid w:val="005A5FDF"/>
    <w:rsid w:val="005B0FB7"/>
    <w:rsid w:val="005B122A"/>
    <w:rsid w:val="005B5AC2"/>
    <w:rsid w:val="005C2833"/>
    <w:rsid w:val="005E144D"/>
    <w:rsid w:val="005E1500"/>
    <w:rsid w:val="005E3A43"/>
    <w:rsid w:val="005F122B"/>
    <w:rsid w:val="005F3ADF"/>
    <w:rsid w:val="00620675"/>
    <w:rsid w:val="006433C3"/>
    <w:rsid w:val="00650F5B"/>
    <w:rsid w:val="0066276D"/>
    <w:rsid w:val="006670D7"/>
    <w:rsid w:val="006719EA"/>
    <w:rsid w:val="00671F13"/>
    <w:rsid w:val="0067400A"/>
    <w:rsid w:val="006847AD"/>
    <w:rsid w:val="0069114B"/>
    <w:rsid w:val="006A03E6"/>
    <w:rsid w:val="006D66F7"/>
    <w:rsid w:val="006F7513"/>
    <w:rsid w:val="00705C9D"/>
    <w:rsid w:val="00705F13"/>
    <w:rsid w:val="00711A2C"/>
    <w:rsid w:val="00714F1D"/>
    <w:rsid w:val="00722DDB"/>
    <w:rsid w:val="00724728"/>
    <w:rsid w:val="00724F98"/>
    <w:rsid w:val="00730B9B"/>
    <w:rsid w:val="007332FF"/>
    <w:rsid w:val="007408F5"/>
    <w:rsid w:val="00741EAE"/>
    <w:rsid w:val="0076190B"/>
    <w:rsid w:val="0076355D"/>
    <w:rsid w:val="00763A2D"/>
    <w:rsid w:val="00777795"/>
    <w:rsid w:val="00783A57"/>
    <w:rsid w:val="00784C92"/>
    <w:rsid w:val="007859CD"/>
    <w:rsid w:val="007907E4"/>
    <w:rsid w:val="00796461"/>
    <w:rsid w:val="007A6A4F"/>
    <w:rsid w:val="007B03F5"/>
    <w:rsid w:val="007B48DF"/>
    <w:rsid w:val="007B5C09"/>
    <w:rsid w:val="007B5DA2"/>
    <w:rsid w:val="007C0966"/>
    <w:rsid w:val="007C19E7"/>
    <w:rsid w:val="007C5CFD"/>
    <w:rsid w:val="007C6D9F"/>
    <w:rsid w:val="007D4893"/>
    <w:rsid w:val="007E5FF2"/>
    <w:rsid w:val="007E70CF"/>
    <w:rsid w:val="007E74A4"/>
    <w:rsid w:val="007F1CBA"/>
    <w:rsid w:val="007F263F"/>
    <w:rsid w:val="0080766E"/>
    <w:rsid w:val="00811169"/>
    <w:rsid w:val="00815297"/>
    <w:rsid w:val="00817BA1"/>
    <w:rsid w:val="00823022"/>
    <w:rsid w:val="0082634E"/>
    <w:rsid w:val="008313C4"/>
    <w:rsid w:val="00835434"/>
    <w:rsid w:val="008358C0"/>
    <w:rsid w:val="00837BE3"/>
    <w:rsid w:val="00842838"/>
    <w:rsid w:val="00854EC1"/>
    <w:rsid w:val="0085797F"/>
    <w:rsid w:val="00861DC3"/>
    <w:rsid w:val="00867019"/>
    <w:rsid w:val="008735A9"/>
    <w:rsid w:val="00877D20"/>
    <w:rsid w:val="00881C48"/>
    <w:rsid w:val="00885B80"/>
    <w:rsid w:val="00885C30"/>
    <w:rsid w:val="00885E9B"/>
    <w:rsid w:val="00893C96"/>
    <w:rsid w:val="008A7C12"/>
    <w:rsid w:val="008B529E"/>
    <w:rsid w:val="008C17FB"/>
    <w:rsid w:val="008D57B8"/>
    <w:rsid w:val="008E03FC"/>
    <w:rsid w:val="008E510B"/>
    <w:rsid w:val="00902B13"/>
    <w:rsid w:val="00910B7A"/>
    <w:rsid w:val="00911941"/>
    <w:rsid w:val="00911FC7"/>
    <w:rsid w:val="00917688"/>
    <w:rsid w:val="00925F0F"/>
    <w:rsid w:val="00932F6B"/>
    <w:rsid w:val="009468BC"/>
    <w:rsid w:val="00960663"/>
    <w:rsid w:val="009616DF"/>
    <w:rsid w:val="0096542F"/>
    <w:rsid w:val="00967FA7"/>
    <w:rsid w:val="00971645"/>
    <w:rsid w:val="009722A0"/>
    <w:rsid w:val="00977919"/>
    <w:rsid w:val="009870FA"/>
    <w:rsid w:val="0099551D"/>
    <w:rsid w:val="009A3968"/>
    <w:rsid w:val="009A5897"/>
    <w:rsid w:val="009A5F24"/>
    <w:rsid w:val="009B0B3E"/>
    <w:rsid w:val="009B1913"/>
    <w:rsid w:val="009B6657"/>
    <w:rsid w:val="009D0EB5"/>
    <w:rsid w:val="009D14F9"/>
    <w:rsid w:val="009D2B74"/>
    <w:rsid w:val="009E175D"/>
    <w:rsid w:val="009E3CC2"/>
    <w:rsid w:val="009F06BD"/>
    <w:rsid w:val="009F2A4D"/>
    <w:rsid w:val="00A00828"/>
    <w:rsid w:val="00A03290"/>
    <w:rsid w:val="00A07490"/>
    <w:rsid w:val="00A10655"/>
    <w:rsid w:val="00A14D6D"/>
    <w:rsid w:val="00A22C38"/>
    <w:rsid w:val="00A25193"/>
    <w:rsid w:val="00A31AE8"/>
    <w:rsid w:val="00A3739D"/>
    <w:rsid w:val="00A37DDA"/>
    <w:rsid w:val="00A925EC"/>
    <w:rsid w:val="00A929AA"/>
    <w:rsid w:val="00A92B6B"/>
    <w:rsid w:val="00AA541E"/>
    <w:rsid w:val="00AD0DA4"/>
    <w:rsid w:val="00AD4169"/>
    <w:rsid w:val="00AE25C6"/>
    <w:rsid w:val="00AE306C"/>
    <w:rsid w:val="00B02EF1"/>
    <w:rsid w:val="00B05C53"/>
    <w:rsid w:val="00B07C97"/>
    <w:rsid w:val="00B15754"/>
    <w:rsid w:val="00B2046E"/>
    <w:rsid w:val="00B20E8B"/>
    <w:rsid w:val="00B257E1"/>
    <w:rsid w:val="00B343CC"/>
    <w:rsid w:val="00B5084A"/>
    <w:rsid w:val="00B614F7"/>
    <w:rsid w:val="00B61B26"/>
    <w:rsid w:val="00B675B2"/>
    <w:rsid w:val="00B81261"/>
    <w:rsid w:val="00B8223E"/>
    <w:rsid w:val="00B832AE"/>
    <w:rsid w:val="00B86678"/>
    <w:rsid w:val="00B92F9B"/>
    <w:rsid w:val="00B941B3"/>
    <w:rsid w:val="00B96513"/>
    <w:rsid w:val="00BA1D47"/>
    <w:rsid w:val="00BA56EC"/>
    <w:rsid w:val="00BA66F0"/>
    <w:rsid w:val="00BB2239"/>
    <w:rsid w:val="00BB2AE7"/>
    <w:rsid w:val="00BB6464"/>
    <w:rsid w:val="00BC07EC"/>
    <w:rsid w:val="00BC1BB8"/>
    <w:rsid w:val="00BD7FE1"/>
    <w:rsid w:val="00BE37CA"/>
    <w:rsid w:val="00BE6144"/>
    <w:rsid w:val="00BE635A"/>
    <w:rsid w:val="00BF2ABB"/>
    <w:rsid w:val="00BF5099"/>
    <w:rsid w:val="00C10F10"/>
    <w:rsid w:val="00C15D4D"/>
    <w:rsid w:val="00C175DC"/>
    <w:rsid w:val="00C2723C"/>
    <w:rsid w:val="00C30171"/>
    <w:rsid w:val="00C309D8"/>
    <w:rsid w:val="00C61AFA"/>
    <w:rsid w:val="00C62099"/>
    <w:rsid w:val="00C64EA3"/>
    <w:rsid w:val="00C72867"/>
    <w:rsid w:val="00C75E81"/>
    <w:rsid w:val="00C86609"/>
    <w:rsid w:val="00C92B4C"/>
    <w:rsid w:val="00C954F6"/>
    <w:rsid w:val="00CA6BC5"/>
    <w:rsid w:val="00CC5343"/>
    <w:rsid w:val="00CC61CD"/>
    <w:rsid w:val="00CD5011"/>
    <w:rsid w:val="00CE640F"/>
    <w:rsid w:val="00CF540E"/>
    <w:rsid w:val="00D02F07"/>
    <w:rsid w:val="00D34C87"/>
    <w:rsid w:val="00D36A49"/>
    <w:rsid w:val="00D43546"/>
    <w:rsid w:val="00D517C6"/>
    <w:rsid w:val="00D71D84"/>
    <w:rsid w:val="00D72464"/>
    <w:rsid w:val="00D73151"/>
    <w:rsid w:val="00D768EB"/>
    <w:rsid w:val="00D82D1E"/>
    <w:rsid w:val="00D832D9"/>
    <w:rsid w:val="00D90F00"/>
    <w:rsid w:val="00D975C0"/>
    <w:rsid w:val="00DA4F31"/>
    <w:rsid w:val="00DA5285"/>
    <w:rsid w:val="00DB191D"/>
    <w:rsid w:val="00DB4F91"/>
    <w:rsid w:val="00DC3117"/>
    <w:rsid w:val="00DC5DD9"/>
    <w:rsid w:val="00DC6D2D"/>
    <w:rsid w:val="00DE33B5"/>
    <w:rsid w:val="00DE5E18"/>
    <w:rsid w:val="00DF0487"/>
    <w:rsid w:val="00DF5EA4"/>
    <w:rsid w:val="00E02681"/>
    <w:rsid w:val="00E02792"/>
    <w:rsid w:val="00E034D8"/>
    <w:rsid w:val="00E04CC0"/>
    <w:rsid w:val="00E15816"/>
    <w:rsid w:val="00E160D5"/>
    <w:rsid w:val="00E30556"/>
    <w:rsid w:val="00E30981"/>
    <w:rsid w:val="00E33136"/>
    <w:rsid w:val="00E34D7C"/>
    <w:rsid w:val="00E3723D"/>
    <w:rsid w:val="00E44C89"/>
    <w:rsid w:val="00E61BA2"/>
    <w:rsid w:val="00E6403F"/>
    <w:rsid w:val="00E72338"/>
    <w:rsid w:val="00E807F3"/>
    <w:rsid w:val="00E84C5A"/>
    <w:rsid w:val="00E861DB"/>
    <w:rsid w:val="00E91B3F"/>
    <w:rsid w:val="00E93406"/>
    <w:rsid w:val="00E956C5"/>
    <w:rsid w:val="00E95C39"/>
    <w:rsid w:val="00EA2C39"/>
    <w:rsid w:val="00EB0A96"/>
    <w:rsid w:val="00EB77F9"/>
    <w:rsid w:val="00EC5769"/>
    <w:rsid w:val="00EC7D00"/>
    <w:rsid w:val="00ED0304"/>
    <w:rsid w:val="00ED2933"/>
    <w:rsid w:val="00EE38FA"/>
    <w:rsid w:val="00EE3E2C"/>
    <w:rsid w:val="00EE5D23"/>
    <w:rsid w:val="00EE62F4"/>
    <w:rsid w:val="00EF3CA4"/>
    <w:rsid w:val="00F014DA"/>
    <w:rsid w:val="00F43AA1"/>
    <w:rsid w:val="00F57CF1"/>
    <w:rsid w:val="00F60EFF"/>
    <w:rsid w:val="00F845E3"/>
    <w:rsid w:val="00F84F89"/>
    <w:rsid w:val="00F94398"/>
    <w:rsid w:val="00FA0D5C"/>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EC2C6"/>
  <w15:docId w15:val="{382E8EF3-124F-47FC-86BE-B40DEED6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A4"/>
  </w:style>
  <w:style w:type="paragraph" w:styleId="Heading1">
    <w:name w:val="heading 1"/>
    <w:basedOn w:val="Normal"/>
    <w:next w:val="Normal"/>
    <w:link w:val="Heading1Char"/>
    <w:uiPriority w:val="1"/>
    <w:qFormat/>
    <w:rsid w:val="009A5F24"/>
    <w:pPr>
      <w:keepNext/>
      <w:keepLines/>
      <w:numPr>
        <w:numId w:val="8"/>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8"/>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8"/>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customStyle="1" w:styleId="NTGTable">
    <w:name w:val="NTG Table"/>
    <w:basedOn w:val="TableGrid"/>
    <w:uiPriority w:val="99"/>
    <w:rsid w:val="0099551D"/>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Normal"/>
    <w:uiPriority w:val="99"/>
    <w:qFormat/>
    <w:rsid w:val="00A22C38"/>
    <w:pPr>
      <w:numPr>
        <w:numId w:val="11"/>
      </w:numPr>
      <w:spacing w:after="120"/>
    </w:pPr>
  </w:style>
  <w:style w:type="paragraph" w:styleId="ListNumber2">
    <w:name w:val="List Number 2"/>
    <w:basedOn w:val="Normal"/>
    <w:uiPriority w:val="99"/>
    <w:rsid w:val="00A22C38"/>
    <w:pPr>
      <w:numPr>
        <w:ilvl w:val="1"/>
        <w:numId w:val="11"/>
      </w:numPr>
      <w:spacing w:after="120"/>
    </w:p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aliases w:val="Bullet list level 1"/>
    <w:basedOn w:val="Normal"/>
    <w:uiPriority w:val="4"/>
    <w:rsid w:val="003B6A61"/>
    <w:pPr>
      <w:numPr>
        <w:numId w:val="13"/>
      </w:numPr>
      <w:spacing w:after="120"/>
    </w:pPr>
  </w:style>
  <w:style w:type="paragraph" w:styleId="ListBullet2">
    <w:name w:val="List Bullet 2"/>
    <w:aliases w:val="Bullet list level 2"/>
    <w:basedOn w:val="Normal"/>
    <w:uiPriority w:val="4"/>
    <w:rsid w:val="006847AD"/>
    <w:pPr>
      <w:numPr>
        <w:ilvl w:val="1"/>
        <w:numId w:val="13"/>
      </w:numPr>
      <w:spacing w:after="120"/>
    </w:pPr>
  </w:style>
  <w:style w:type="paragraph" w:styleId="ListBullet3">
    <w:name w:val="List Bullet 3"/>
    <w:aliases w:val="Bullet list level 3"/>
    <w:basedOn w:val="Normal"/>
    <w:uiPriority w:val="4"/>
    <w:rsid w:val="006847AD"/>
    <w:pPr>
      <w:numPr>
        <w:ilvl w:val="2"/>
        <w:numId w:val="13"/>
      </w:numPr>
      <w:spacing w:after="120"/>
    </w:pPr>
  </w:style>
  <w:style w:type="paragraph" w:styleId="ListBullet4">
    <w:name w:val="List Bullet 4"/>
    <w:aliases w:val="Bullet list level 4"/>
    <w:basedOn w:val="Normal"/>
    <w:uiPriority w:val="4"/>
    <w:rsid w:val="006847AD"/>
    <w:pPr>
      <w:numPr>
        <w:ilvl w:val="3"/>
        <w:numId w:val="13"/>
      </w:numPr>
      <w:spacing w:after="120"/>
    </w:pPr>
  </w:style>
  <w:style w:type="paragraph" w:styleId="ListBullet5">
    <w:name w:val="List Bullet 5"/>
    <w:aliases w:val="Bullet list level 5"/>
    <w:basedOn w:val="Normal"/>
    <w:uiPriority w:val="4"/>
    <w:rsid w:val="004E2CB7"/>
    <w:pPr>
      <w:numPr>
        <w:ilvl w:val="4"/>
        <w:numId w:val="13"/>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 w:type="paragraph" w:styleId="BalloonText">
    <w:name w:val="Balloon Text"/>
    <w:basedOn w:val="Normal"/>
    <w:link w:val="BalloonTextChar"/>
    <w:uiPriority w:val="99"/>
    <w:semiHidden/>
    <w:unhideWhenUsed/>
    <w:rsid w:val="000951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17D"/>
    <w:rPr>
      <w:rFonts w:ascii="Tahoma" w:hAnsi="Tahoma" w:cs="Tahoma"/>
      <w:sz w:val="16"/>
      <w:szCs w:val="16"/>
    </w:rPr>
  </w:style>
  <w:style w:type="numbering" w:customStyle="1" w:styleId="Bulletlist">
    <w:name w:val="Bullet list"/>
    <w:basedOn w:val="NoList"/>
    <w:rsid w:val="001C12EA"/>
    <w:pPr>
      <w:numPr>
        <w:numId w:val="22"/>
      </w:numPr>
    </w:pPr>
  </w:style>
  <w:style w:type="character" w:styleId="CommentReference">
    <w:name w:val="annotation reference"/>
    <w:basedOn w:val="DefaultParagraphFont"/>
    <w:uiPriority w:val="99"/>
    <w:semiHidden/>
    <w:unhideWhenUsed/>
    <w:rsid w:val="002943FF"/>
    <w:rPr>
      <w:sz w:val="16"/>
      <w:szCs w:val="16"/>
    </w:rPr>
  </w:style>
  <w:style w:type="paragraph" w:styleId="CommentText">
    <w:name w:val="annotation text"/>
    <w:basedOn w:val="Normal"/>
    <w:link w:val="CommentTextChar"/>
    <w:uiPriority w:val="99"/>
    <w:semiHidden/>
    <w:unhideWhenUsed/>
    <w:rsid w:val="002943FF"/>
    <w:rPr>
      <w:sz w:val="20"/>
      <w:szCs w:val="20"/>
    </w:rPr>
  </w:style>
  <w:style w:type="character" w:customStyle="1" w:styleId="CommentTextChar">
    <w:name w:val="Comment Text Char"/>
    <w:basedOn w:val="DefaultParagraphFont"/>
    <w:link w:val="CommentText"/>
    <w:uiPriority w:val="99"/>
    <w:semiHidden/>
    <w:rsid w:val="002943FF"/>
    <w:rPr>
      <w:sz w:val="20"/>
      <w:szCs w:val="20"/>
    </w:rPr>
  </w:style>
  <w:style w:type="paragraph" w:styleId="CommentSubject">
    <w:name w:val="annotation subject"/>
    <w:basedOn w:val="CommentText"/>
    <w:next w:val="CommentText"/>
    <w:link w:val="CommentSubjectChar"/>
    <w:uiPriority w:val="99"/>
    <w:semiHidden/>
    <w:unhideWhenUsed/>
    <w:rsid w:val="002943FF"/>
    <w:rPr>
      <w:b/>
      <w:bCs/>
    </w:rPr>
  </w:style>
  <w:style w:type="character" w:customStyle="1" w:styleId="CommentSubjectChar">
    <w:name w:val="Comment Subject Char"/>
    <w:basedOn w:val="CommentTextChar"/>
    <w:link w:val="CommentSubject"/>
    <w:uiPriority w:val="99"/>
    <w:semiHidden/>
    <w:rsid w:val="002943FF"/>
    <w:rPr>
      <w:b/>
      <w:bCs/>
      <w:sz w:val="20"/>
      <w:szCs w:val="20"/>
    </w:rPr>
  </w:style>
  <w:style w:type="table" w:styleId="GridTable4-Accent6">
    <w:name w:val="Grid Table 4 Accent 6"/>
    <w:basedOn w:val="TableNormal"/>
    <w:uiPriority w:val="49"/>
    <w:rsid w:val="004C3E3A"/>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79635F5245544D92C4447B93135309" ma:contentTypeVersion="6" ma:contentTypeDescription="Create a new document." ma:contentTypeScope="" ma:versionID="84de92b8ce3cfdc4f3d91aebc12490fc">
  <xsd:schema xmlns:xsd="http://www.w3.org/2001/XMLSchema" xmlns:xs="http://www.w3.org/2001/XMLSchema" xmlns:p="http://schemas.microsoft.com/office/2006/metadata/properties" xmlns:ns2="fbe80d51-3b18-44a1-8daa-91c665209920" xmlns:ns3="a62f3bd8-32e1-4d41-a1d0-99373f6c055b" targetNamespace="http://schemas.microsoft.com/office/2006/metadata/properties" ma:root="true" ma:fieldsID="24c382698b49262b1bae3c72337b01de" ns2:_="" ns3:_="">
    <xsd:import namespace="fbe80d51-3b18-44a1-8daa-91c665209920"/>
    <xsd:import namespace="a62f3bd8-32e1-4d41-a1d0-99373f6c055b"/>
    <xsd:element name="properties">
      <xsd:complexType>
        <xsd:sequence>
          <xsd:element name="documentManagement">
            <xsd:complexType>
              <xsd:all>
                <xsd:element ref="ns2:SharedWithUsers" minOccurs="0"/>
                <xsd:element ref="ns3:Document_x0020_Type" minOccurs="0"/>
                <xsd:element ref="ns3:zggd" minOccurs="0"/>
                <xsd:element ref="ns3:Folder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80d51-3b18-44a1-8daa-91c665209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2f3bd8-32e1-4d41-a1d0-99373f6c055b"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Policy"/>
          <xsd:enumeration value="Procedure"/>
          <xsd:enumeration value="Form"/>
          <xsd:enumeration value="Guideline"/>
          <xsd:enumeration value="Resource"/>
        </xsd:restriction>
      </xsd:simpleType>
    </xsd:element>
    <xsd:element name="zggd" ma:index="10" nillable="true" ma:displayName="Number" ma:internalName="zggd">
      <xsd:simpleType>
        <xsd:restriction base="dms:Number"/>
      </xsd:simpleType>
    </xsd:element>
    <xsd:element name="Folder_x0020_name" ma:index="11" nillable="true" ma:displayName="Folder name" ma:internalName="Folder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a62f3bd8-32e1-4d41-a1d0-99373f6c055b">Resource</Document_x0020_Type>
    <zggd xmlns="a62f3bd8-32e1-4d41-a1d0-99373f6c055b">1</zggd>
    <Folder_x0020_name xmlns="a62f3bd8-32e1-4d41-a1d0-99373f6c055b">office templates</Folder_x0020_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81D8B-8CAE-4357-8EBC-0516C0F14EE2}">
  <ds:schemaRefs>
    <ds:schemaRef ds:uri="http://schemas.microsoft.com/sharepoint/v3/contenttype/forms"/>
  </ds:schemaRefs>
</ds:datastoreItem>
</file>

<file path=customXml/itemProps2.xml><?xml version="1.0" encoding="utf-8"?>
<ds:datastoreItem xmlns:ds="http://schemas.openxmlformats.org/officeDocument/2006/customXml" ds:itemID="{6252E756-B957-4352-B686-0A6E3B4A1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80d51-3b18-44a1-8daa-91c665209920"/>
    <ds:schemaRef ds:uri="a62f3bd8-32e1-4d41-a1d0-99373f6c0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2C8DA-F045-4EC5-A433-CB672A7DA62E}">
  <ds:schemaRefs>
    <ds:schemaRef ds:uri="http://schemas.microsoft.com/office/2006/metadata/properties"/>
    <ds:schemaRef ds:uri="http://schemas.microsoft.com/office/infopath/2007/PartnerControls"/>
    <ds:schemaRef ds:uri="a62f3bd8-32e1-4d41-a1d0-99373f6c055b"/>
  </ds:schemaRefs>
</ds:datastoreItem>
</file>

<file path=customXml/itemProps4.xml><?xml version="1.0" encoding="utf-8"?>
<ds:datastoreItem xmlns:ds="http://schemas.openxmlformats.org/officeDocument/2006/customXml" ds:itemID="{17CB99D0-7715-4752-96AA-853A39E4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Sexual Violence Prevention and Response Framework Consultation Summary 2019</dc:title>
  <dc:creator>Northern Territory Government</dc:creator>
  <cp:lastModifiedBy>Roy Galet</cp:lastModifiedBy>
  <cp:revision>3</cp:revision>
  <cp:lastPrinted>2019-10-14T03:36:00Z</cp:lastPrinted>
  <dcterms:created xsi:type="dcterms:W3CDTF">2021-05-20T00:36:00Z</dcterms:created>
  <dcterms:modified xsi:type="dcterms:W3CDTF">2021-05-20T04:17:00Z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
  </property>
  <property fmtid="{D5CDD505-2E9C-101B-9397-08002B2CF9AE}" pid="3" name="DepartmentName">
    <vt:lpwstr>Territory Families</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y fmtid="{D5CDD505-2E9C-101B-9397-08002B2CF9AE}" pid="7" name="ContentTypeId">
    <vt:lpwstr>0x0101007379635F5245544D92C4447B93135309</vt:lpwstr>
  </property>
  <property fmtid="{D5CDD505-2E9C-101B-9397-08002B2CF9AE}" pid="8" name="Order">
    <vt:r8>579400</vt:r8>
  </property>
  <property fmtid="{D5CDD505-2E9C-101B-9397-08002B2CF9AE}" pid="9" name="Document Type">
    <vt:lpwstr>Form/Template</vt:lpwstr>
  </property>
  <property fmtid="{D5CDD505-2E9C-101B-9397-08002B2CF9AE}" pid="10" name="Branch">
    <vt:lpwstr>Office Templates</vt:lpwstr>
  </property>
  <property fmtid="{D5CDD505-2E9C-101B-9397-08002B2CF9AE}" pid="11" name="Heading">
    <vt:lpwstr>Office Templates - Corporate Stationery</vt:lpwstr>
  </property>
  <property fmtid="{D5CDD505-2E9C-101B-9397-08002B2CF9AE}" pid="12" name="Folder Name">
    <vt:lpwstr>Office Templates</vt:lpwstr>
  </property>
  <property fmtid="{D5CDD505-2E9C-101B-9397-08002B2CF9AE}" pid="13" name="Tally">
    <vt:r8>1</vt:r8>
  </property>
</Properties>
</file>